
<file path=[Content_Types].xml><?xml version="1.0" encoding="utf-8"?>
<Types xmlns="http://schemas.openxmlformats.org/package/2006/content-types">
  <Default Extension="xml" ContentType="application/xml"/>
  <Default Extension="wmf" ContentType="image/x-wmf"/>
  <Default Extension="png" ContentType="image/png"/>
  <Default Extension="jpeg" ContentType="image/jpeg"/>
  <Default Extension="rels" ContentType="application/vnd.openxmlformats-package.relationships+xml"/>
  <Default Extension="bin" ContentType="application/vnd.openxmlformats-officedocument.oleObject"/>
  <Override PartName="/docProps/app.xml" ContentType="application/vnd.openxmlformats-officedocument.extended-properties+xml"/>
  <Override PartName="/word/footer2.xml" ContentType="application/vnd.openxmlformats-officedocument.wordprocessingml.footer+xml"/>
  <Override PartName="/word/footnotes.xml" ContentType="application/vnd.openxmlformats-officedocument.wordprocessingml.footnotes+xml"/>
  <Override PartName="/word/footer1.xml" ContentType="application/vnd.openxmlformats-officedocument.wordprocessingml.footer+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theme/theme1.xml" ContentType="application/vnd.openxmlformats-officedocument.theme+xml"/>
  <Override PartName="/word/webSettings.xml" ContentType="application/vnd.openxmlformats-officedocument.wordprocessingml.webSettings+xml"/>
  <Override PartName="/word/endnotes.xml" ContentType="application/vnd.openxmlformats-officedocument.wordprocessingml.end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Override PartName="/docProps/custom.xml" ContentType="application/vnd.openxmlformats-officedocument.custom-properti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ackground w:color="FFFFFF"/>
  <w:body>
    <w:tbl>
      <w:tblPr>
        <w:tblStyle w:val="663"/>
        <w:tblpPr w:horzAnchor="page" w:tblpX="2163" w:vertAnchor="text" w:tblpY="412" w:leftFromText="180" w:topFromText="0" w:rightFromText="180" w:bottomFromText="0"/>
        <w:tblW w:w="13291" w:type="dxa"/>
        <w:tblInd w:w="0" w:type="dxa"/>
        <w:tblBorders/>
        <w:tblLayout w:type="fixed"/>
        <w:tblCellMar>
          <w:left w:w="108" w:type="dxa"/>
          <w:top w:w="0" w:type="dxa"/>
          <w:right w:w="108" w:type="dxa"/>
          <w:bottom w:w="0" w:type="dxa"/>
        </w:tblCellMar>
        <w:tblLook w:val="04A0" w:firstRow="1" w:lastRow="0" w:firstColumn="1" w:lastColumn="0" w:noHBand="0" w:noVBand="1"/>
      </w:tblPr>
      <w:tblGrid>
        <w:gridCol w:w="675"/>
        <w:gridCol w:w="1418"/>
        <w:gridCol w:w="992"/>
        <w:gridCol w:w="992"/>
        <w:gridCol w:w="993"/>
        <w:gridCol w:w="992"/>
        <w:gridCol w:w="3685"/>
        <w:gridCol w:w="1843"/>
        <w:gridCol w:w="1701"/>
      </w:tblGrid>
      <w:tr>
        <w:trPr>
          <w:trHeight w:val="660"/>
        </w:trPr>
        <w:tc>
          <w:tcPr>
            <w:gridSpan w:val="9"/>
            <w:shd w:val="clear" w:color="auto" w:fill="auto"/>
            <w:tcBorders>
              <w:top w:val="none" w:color="000000" w:sz="4" w:space="0"/>
              <w:left w:val="none" w:color="000000" w:sz="4" w:space="0"/>
              <w:bottom w:val="none" w:color="000000" w:sz="4" w:space="0"/>
              <w:right w:val="none" w:color="000000" w:sz="4" w:space="0"/>
            </w:tcBorders>
            <w:tcW w:w="13291" w:type="dxa"/>
            <w:vAlign w:val="center"/>
            <w:textDirection w:val="lrTb"/>
            <w:noWrap/>
          </w:tcPr>
          <w:p>
            <w:pPr>
              <w:widowControl w:val="true"/>
              <w:pBdr/>
              <w:spacing/>
              <w:ind/>
              <w:jc w:val="center"/>
              <w:rPr>
                <w:rFonts w:ascii="方正小标宋简体" w:hAnsi="宋体" w:eastAsia="方正小标宋简体" w:cs="宋体"/>
                <w:color w:val="000000"/>
                <w:sz w:val="36"/>
                <w:szCs w:val="36"/>
              </w:rPr>
            </w:pPr>
            <w:r>
              <w:rPr>
                <w:rFonts w:hint="eastAsia" w:ascii="方正小标宋简体" w:hAnsi="宋体" w:eastAsia="方正小标宋简体" w:cs="宋体"/>
                <w:color w:val="000000"/>
                <w:sz w:val="36"/>
                <w:szCs w:val="36"/>
              </w:rPr>
              <w:t xml:space="preserve">麦积区文体广电和旅游局权责清单目录（共46项）</w:t>
            </w:r>
            <w:r>
              <w:rPr>
                <w:rFonts w:ascii="方正小标宋简体" w:hAnsi="宋体" w:eastAsia="方正小标宋简体" w:cs="宋体"/>
                <w:color w:val="000000"/>
                <w:sz w:val="36"/>
                <w:szCs w:val="36"/>
              </w:rPr>
            </w:r>
          </w:p>
        </w:tc>
      </w:tr>
      <w:tr>
        <w:trPr>
          <w:trHeight w:val="172"/>
        </w:trPr>
        <w:tc>
          <w:tcPr>
            <w:shd w:val="clear" w:color="auto" w:fill="auto"/>
            <w:tcBorders>
              <w:top w:val="single" w:color="auto" w:sz="4" w:space="0"/>
              <w:left w:val="single" w:color="auto" w:sz="4" w:space="0"/>
              <w:bottom w:val="single" w:color="auto" w:sz="4" w:space="0"/>
              <w:right w:val="single" w:color="auto" w:sz="4" w:space="0"/>
            </w:tcBorders>
            <w:tcW w:w="675" w:type="dxa"/>
            <w:vAlign w:val="center"/>
            <w:textDirection w:val="lrTb"/>
            <w:noWrap w:val="false"/>
          </w:tcPr>
          <w:p>
            <w:pPr>
              <w:widowControl w:val="true"/>
              <w:pBdr/>
              <w:spacing/>
              <w:ind/>
              <w:jc w:val="center"/>
              <w:rPr>
                <w:rFonts w:ascii="黑体" w:hAnsi="黑体" w:eastAsia="黑体" w:cs="宋体"/>
                <w:color w:val="000000"/>
                <w:sz w:val="18"/>
                <w:szCs w:val="24"/>
              </w:rPr>
            </w:pPr>
            <w:r>
              <w:rPr>
                <w:rFonts w:hint="eastAsia" w:ascii="黑体" w:hAnsi="黑体" w:eastAsia="黑体" w:cs="宋体"/>
                <w:color w:val="000000"/>
                <w:sz w:val="18"/>
                <w:szCs w:val="24"/>
              </w:rPr>
              <w:t xml:space="preserve">序号</w:t>
            </w:r>
            <w:r>
              <w:rPr>
                <w:rFonts w:ascii="黑体" w:hAnsi="黑体" w:eastAsia="黑体" w:cs="宋体"/>
                <w:color w:val="000000"/>
                <w:sz w:val="18"/>
                <w:szCs w:val="24"/>
              </w:rPr>
            </w:r>
          </w:p>
        </w:tc>
        <w:tc>
          <w:tcPr>
            <w:shd w:val="clear" w:color="auto" w:fill="auto"/>
            <w:tcBorders>
              <w:top w:val="single" w:color="auto" w:sz="4" w:space="0"/>
              <w:left w:val="none" w:color="000000" w:sz="4" w:space="0"/>
              <w:bottom w:val="single" w:color="auto" w:sz="4" w:space="0"/>
              <w:right w:val="single" w:color="auto" w:sz="4" w:space="0"/>
            </w:tcBorders>
            <w:tcW w:w="1418" w:type="dxa"/>
            <w:vAlign w:val="center"/>
            <w:textDirection w:val="lrTb"/>
            <w:noWrap w:val="false"/>
          </w:tcPr>
          <w:p>
            <w:pPr>
              <w:widowControl w:val="true"/>
              <w:pBdr/>
              <w:spacing/>
              <w:ind/>
              <w:jc w:val="center"/>
              <w:rPr>
                <w:rFonts w:ascii="黑体" w:hAnsi="黑体" w:eastAsia="黑体" w:cs="宋体"/>
                <w:color w:val="000000"/>
                <w:sz w:val="18"/>
                <w:szCs w:val="24"/>
              </w:rPr>
            </w:pPr>
            <w:r>
              <w:rPr>
                <w:rFonts w:hint="eastAsia" w:ascii="黑体" w:hAnsi="黑体" w:eastAsia="黑体" w:cs="宋体"/>
                <w:color w:val="000000"/>
                <w:sz w:val="18"/>
                <w:szCs w:val="24"/>
              </w:rPr>
              <w:t xml:space="preserve">权责事项名称</w:t>
            </w:r>
            <w:r>
              <w:rPr>
                <w:rFonts w:ascii="黑体" w:hAnsi="黑体" w:eastAsia="黑体" w:cs="宋体"/>
                <w:color w:val="000000"/>
                <w:sz w:val="18"/>
                <w:szCs w:val="24"/>
              </w:rPr>
            </w:r>
          </w:p>
        </w:tc>
        <w:tc>
          <w:tcPr>
            <w:shd w:val="clear" w:color="auto" w:fill="auto"/>
            <w:tcBorders>
              <w:top w:val="single" w:color="auto"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center"/>
              <w:rPr>
                <w:rFonts w:ascii="黑体" w:hAnsi="黑体" w:eastAsia="黑体" w:cs="宋体"/>
                <w:color w:val="000000"/>
                <w:sz w:val="18"/>
                <w:szCs w:val="24"/>
              </w:rPr>
            </w:pPr>
            <w:r>
              <w:rPr>
                <w:rFonts w:hint="eastAsia" w:ascii="黑体" w:hAnsi="黑体" w:eastAsia="黑体" w:cs="宋体"/>
                <w:color w:val="000000"/>
                <w:sz w:val="18"/>
                <w:szCs w:val="24"/>
              </w:rPr>
              <w:t xml:space="preserve">子项名称</w:t>
            </w:r>
            <w:r>
              <w:rPr>
                <w:rFonts w:ascii="黑体" w:hAnsi="黑体" w:eastAsia="黑体" w:cs="宋体"/>
                <w:color w:val="000000"/>
                <w:sz w:val="18"/>
                <w:szCs w:val="24"/>
              </w:rPr>
            </w:r>
          </w:p>
        </w:tc>
        <w:tc>
          <w:tcPr>
            <w:shd w:val="clear" w:color="auto" w:fill="auto"/>
            <w:tcBorders>
              <w:top w:val="single" w:color="auto"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center"/>
              <w:rPr>
                <w:rFonts w:ascii="黑体" w:hAnsi="黑体" w:eastAsia="黑体" w:cs="宋体"/>
                <w:color w:val="000000"/>
                <w:sz w:val="18"/>
                <w:szCs w:val="24"/>
              </w:rPr>
            </w:pPr>
            <w:r>
              <w:rPr>
                <w:rFonts w:hint="eastAsia" w:ascii="黑体" w:hAnsi="黑体" w:eastAsia="黑体" w:cs="宋体"/>
                <w:color w:val="000000"/>
                <w:sz w:val="18"/>
                <w:szCs w:val="24"/>
              </w:rPr>
              <w:t xml:space="preserve">事项类型</w:t>
            </w:r>
            <w:r>
              <w:rPr>
                <w:rFonts w:ascii="黑体" w:hAnsi="黑体" w:eastAsia="黑体" w:cs="宋体"/>
                <w:color w:val="000000"/>
                <w:sz w:val="18"/>
                <w:szCs w:val="24"/>
              </w:rPr>
            </w:r>
          </w:p>
        </w:tc>
        <w:tc>
          <w:tcPr>
            <w:shd w:val="clear" w:color="auto" w:fill="auto"/>
            <w:tcBorders>
              <w:top w:val="single" w:color="auto" w:sz="4" w:space="0"/>
              <w:left w:val="none" w:color="000000" w:sz="4" w:space="0"/>
              <w:bottom w:val="single" w:color="auto" w:sz="4" w:space="0"/>
              <w:right w:val="single" w:color="auto" w:sz="4" w:space="0"/>
            </w:tcBorders>
            <w:tcW w:w="993" w:type="dxa"/>
            <w:vAlign w:val="center"/>
            <w:textDirection w:val="lrTb"/>
            <w:noWrap w:val="false"/>
          </w:tcPr>
          <w:p>
            <w:pPr>
              <w:widowControl w:val="true"/>
              <w:pBdr/>
              <w:spacing/>
              <w:ind/>
              <w:jc w:val="center"/>
              <w:rPr>
                <w:rFonts w:ascii="黑体" w:hAnsi="黑体" w:eastAsia="黑体" w:cs="宋体"/>
                <w:color w:val="000000"/>
                <w:sz w:val="18"/>
                <w:szCs w:val="24"/>
              </w:rPr>
            </w:pPr>
            <w:r>
              <w:rPr>
                <w:rFonts w:hint="eastAsia" w:ascii="黑体" w:hAnsi="黑体" w:eastAsia="黑体" w:cs="宋体"/>
                <w:color w:val="000000"/>
                <w:sz w:val="18"/>
                <w:szCs w:val="24"/>
              </w:rPr>
              <w:t xml:space="preserve">实施主体</w:t>
            </w:r>
            <w:r>
              <w:rPr>
                <w:rFonts w:ascii="黑体" w:hAnsi="黑体" w:eastAsia="黑体" w:cs="宋体"/>
                <w:color w:val="000000"/>
                <w:sz w:val="18"/>
                <w:szCs w:val="24"/>
              </w:rPr>
            </w:r>
          </w:p>
        </w:tc>
        <w:tc>
          <w:tcPr>
            <w:shd w:val="clear" w:color="auto" w:fill="auto"/>
            <w:tcBorders>
              <w:top w:val="single" w:color="auto" w:sz="4" w:space="0"/>
              <w:left w:val="none" w:color="000000" w:sz="4" w:space="0"/>
              <w:bottom w:val="single" w:color="auto" w:sz="4" w:space="0"/>
              <w:right w:val="single" w:color="auto" w:sz="4" w:space="0"/>
            </w:tcBorders>
            <w:tcW w:w="992" w:type="dxa"/>
            <w:textDirection w:val="lrTb"/>
            <w:noWrap w:val="false"/>
          </w:tcPr>
          <w:p>
            <w:pPr>
              <w:widowControl w:val="true"/>
              <w:pBdr/>
              <w:spacing/>
              <w:ind/>
              <w:jc w:val="center"/>
              <w:rPr>
                <w:rFonts w:ascii="黑体" w:hAnsi="黑体" w:eastAsia="黑体" w:cs="宋体"/>
                <w:color w:val="000000"/>
                <w:sz w:val="18"/>
                <w:szCs w:val="24"/>
              </w:rPr>
            </w:pPr>
            <w:r>
              <w:rPr>
                <w:rFonts w:hint="eastAsia" w:ascii="黑体" w:hAnsi="黑体" w:eastAsia="黑体" w:cs="宋体"/>
                <w:color w:val="000000"/>
                <w:sz w:val="18"/>
                <w:szCs w:val="24"/>
              </w:rPr>
              <w:t xml:space="preserve">承办机构</w:t>
            </w:r>
            <w:r>
              <w:rPr>
                <w:rFonts w:ascii="黑体" w:hAnsi="黑体" w:eastAsia="黑体" w:cs="宋体"/>
                <w:color w:val="000000"/>
                <w:sz w:val="18"/>
                <w:szCs w:val="24"/>
              </w:rPr>
            </w:r>
          </w:p>
        </w:tc>
        <w:tc>
          <w:tcPr>
            <w:shd w:val="clear" w:color="auto" w:fill="auto"/>
            <w:tcBorders>
              <w:top w:val="single" w:color="auto" w:sz="4" w:space="0"/>
              <w:left w:val="none" w:color="000000" w:sz="4" w:space="0"/>
              <w:bottom w:val="single" w:color="auto" w:sz="4" w:space="0"/>
              <w:right w:val="single" w:color="auto" w:sz="4" w:space="0"/>
            </w:tcBorders>
            <w:tcW w:w="3685" w:type="dxa"/>
            <w:vAlign w:val="center"/>
            <w:textDirection w:val="lrTb"/>
            <w:noWrap w:val="false"/>
          </w:tcPr>
          <w:p>
            <w:pPr>
              <w:widowControl w:val="true"/>
              <w:pBdr/>
              <w:spacing/>
              <w:ind/>
              <w:jc w:val="center"/>
              <w:rPr>
                <w:rFonts w:ascii="黑体" w:hAnsi="黑体" w:eastAsia="黑体" w:cs="宋体"/>
                <w:color w:val="000000"/>
                <w:sz w:val="18"/>
                <w:szCs w:val="24"/>
              </w:rPr>
            </w:pPr>
            <w:r>
              <w:rPr>
                <w:rFonts w:hint="eastAsia" w:ascii="黑体" w:hAnsi="黑体" w:eastAsia="黑体" w:cs="宋体"/>
                <w:color w:val="000000"/>
                <w:sz w:val="18"/>
                <w:szCs w:val="24"/>
              </w:rPr>
              <w:t xml:space="preserve">实施依据</w:t>
            </w:r>
            <w:r>
              <w:rPr>
                <w:rFonts w:ascii="黑体" w:hAnsi="黑体" w:eastAsia="黑体" w:cs="宋体"/>
                <w:color w:val="000000"/>
                <w:sz w:val="18"/>
                <w:szCs w:val="24"/>
              </w:rPr>
            </w:r>
          </w:p>
        </w:tc>
        <w:tc>
          <w:tcPr>
            <w:shd w:val="clear" w:color="auto" w:fill="auto"/>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widowControl w:val="true"/>
              <w:pBdr/>
              <w:spacing/>
              <w:ind/>
              <w:jc w:val="center"/>
              <w:rPr>
                <w:rFonts w:ascii="黑体" w:hAnsi="黑体" w:eastAsia="黑体" w:cs="宋体"/>
                <w:color w:val="000000"/>
                <w:sz w:val="18"/>
                <w:szCs w:val="24"/>
              </w:rPr>
            </w:pPr>
            <w:r>
              <w:rPr>
                <w:rFonts w:hint="eastAsia" w:ascii="黑体" w:hAnsi="黑体" w:eastAsia="黑体" w:cs="宋体"/>
                <w:color w:val="000000"/>
                <w:sz w:val="18"/>
                <w:szCs w:val="24"/>
              </w:rPr>
              <w:t xml:space="preserve">责任事项</w:t>
            </w:r>
            <w:r>
              <w:rPr>
                <w:rFonts w:ascii="黑体" w:hAnsi="黑体" w:eastAsia="黑体" w:cs="宋体"/>
                <w:color w:val="000000"/>
                <w:sz w:val="18"/>
                <w:szCs w:val="24"/>
              </w:rPr>
            </w:r>
          </w:p>
        </w:tc>
        <w:tc>
          <w:tcPr>
            <w:shd w:val="clear" w:color="auto" w:fill="auto"/>
            <w:tcBorders>
              <w:top w:val="single" w:color="auto" w:sz="4" w:space="0"/>
              <w:left w:val="none" w:color="000000" w:sz="4" w:space="0"/>
              <w:bottom w:val="single" w:color="auto" w:sz="4" w:space="0"/>
              <w:right w:val="single" w:color="auto" w:sz="4" w:space="0"/>
            </w:tcBorders>
            <w:tcW w:w="1701" w:type="dxa"/>
            <w:vAlign w:val="center"/>
            <w:textDirection w:val="lrTb"/>
            <w:noWrap w:val="false"/>
          </w:tcPr>
          <w:p>
            <w:pPr>
              <w:widowControl w:val="true"/>
              <w:pBdr/>
              <w:spacing/>
              <w:ind/>
              <w:jc w:val="center"/>
              <w:rPr>
                <w:rFonts w:ascii="黑体" w:hAnsi="黑体" w:eastAsia="黑体" w:cs="宋体"/>
                <w:color w:val="000000"/>
                <w:sz w:val="18"/>
                <w:szCs w:val="24"/>
              </w:rPr>
            </w:pPr>
            <w:r>
              <w:rPr>
                <w:rFonts w:hint="eastAsia" w:ascii="黑体" w:hAnsi="黑体" w:eastAsia="黑体" w:cs="宋体"/>
                <w:color w:val="000000"/>
                <w:sz w:val="18"/>
                <w:szCs w:val="24"/>
              </w:rPr>
              <w:t xml:space="preserve">追责情形</w:t>
            </w:r>
            <w:r>
              <w:rPr>
                <w:rFonts w:ascii="黑体" w:hAnsi="黑体" w:eastAsia="黑体" w:cs="宋体"/>
                <w:color w:val="000000"/>
                <w:sz w:val="18"/>
                <w:szCs w:val="24"/>
              </w:rPr>
            </w:r>
          </w:p>
        </w:tc>
      </w:tr>
      <w:tr>
        <w:trPr>
          <w:trHeight w:val="942"/>
        </w:trPr>
        <w:tc>
          <w:tcPr>
            <w:shd w:val="clear" w:color="auto" w:fill="auto"/>
            <w:tcBorders>
              <w:top w:val="none" w:color="000000" w:sz="4" w:space="0"/>
              <w:left w:val="single" w:color="auto" w:sz="4" w:space="0"/>
              <w:bottom w:val="single" w:color="auto" w:sz="4" w:space="0"/>
              <w:right w:val="single" w:color="auto" w:sz="4" w:space="0"/>
            </w:tcBorders>
            <w:tcW w:w="675" w:type="dxa"/>
            <w:vAlign w:val="center"/>
            <w:vMerge w:val="restart"/>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1</w:t>
            </w:r>
            <w:r>
              <w:rPr>
                <w:rFonts w:ascii="仿宋" w:hAnsi="仿宋" w:eastAsia="仿宋" w:cs="宋体"/>
                <w:color w:val="000000"/>
                <w:sz w:val="16"/>
                <w:szCs w:val="16"/>
              </w:rPr>
            </w:r>
          </w:p>
        </w:tc>
        <w:tc>
          <w:tcPr>
            <w:shd w:val="clear" w:color="auto" w:fill="auto"/>
            <w:tcBorders>
              <w:top w:val="none" w:color="000000" w:sz="4" w:space="0"/>
              <w:left w:val="single" w:color="auto" w:sz="4" w:space="0"/>
              <w:bottom w:val="single" w:color="auto" w:sz="4" w:space="0"/>
              <w:right w:val="single" w:color="auto" w:sz="4" w:space="0"/>
            </w:tcBorders>
            <w:tcW w:w="1418" w:type="dxa"/>
            <w:vAlign w:val="center"/>
            <w:vMerge w:val="restart"/>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建设工程文物保护许可</w:t>
            </w:r>
            <w:r>
              <w:rPr>
                <w:rFonts w:ascii="仿宋" w:hAnsi="仿宋" w:eastAsia="仿宋" w:cs="宋体"/>
                <w:color w:val="000000"/>
                <w:sz w:val="16"/>
                <w:szCs w:val="16"/>
              </w:rPr>
            </w:r>
          </w:p>
        </w:tc>
        <w:tc>
          <w:tcPr>
            <w:shd w:val="clear" w:color="auto" w:fill="auto"/>
            <w:tcBorders>
              <w:top w:val="none" w:color="000000" w:sz="4" w:space="0"/>
              <w:left w:val="single" w:color="auto" w:sz="4" w:space="0"/>
              <w:bottom w:val="single" w:color="auto" w:sz="4" w:space="0"/>
              <w:right w:val="single" w:color="auto" w:sz="4" w:space="0"/>
            </w:tcBorders>
            <w:tcW w:w="992" w:type="dxa"/>
            <w:vAlign w:val="center"/>
            <w:vMerge w:val="restart"/>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县级文物保护单位建设控制地带内建设工程设计方案许可</w:t>
            </w:r>
            <w:r>
              <w:rPr>
                <w:rFonts w:ascii="仿宋" w:hAnsi="仿宋" w:eastAsia="仿宋" w:cs="宋体"/>
                <w:color w:val="000000"/>
                <w:sz w:val="16"/>
                <w:szCs w:val="16"/>
              </w:rPr>
            </w:r>
          </w:p>
        </w:tc>
        <w:tc>
          <w:tcPr>
            <w:shd w:val="clear" w:color="auto" w:fill="auto"/>
            <w:tcBorders>
              <w:top w:val="none" w:color="000000" w:sz="4" w:space="0"/>
              <w:left w:val="single" w:color="auto" w:sz="4" w:space="0"/>
              <w:bottom w:val="single" w:color="auto" w:sz="4" w:space="0"/>
              <w:right w:val="single" w:color="auto" w:sz="4" w:space="0"/>
            </w:tcBorders>
            <w:tcW w:w="992" w:type="dxa"/>
            <w:vAlign w:val="center"/>
            <w:vMerge w:val="restart"/>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行政许可</w:t>
            </w:r>
            <w:r>
              <w:rPr>
                <w:rFonts w:ascii="仿宋" w:hAnsi="仿宋" w:eastAsia="仿宋" w:cs="宋体"/>
                <w:color w:val="000000"/>
                <w:sz w:val="16"/>
                <w:szCs w:val="16"/>
              </w:rPr>
            </w:r>
          </w:p>
        </w:tc>
        <w:tc>
          <w:tcPr>
            <w:shd w:val="clear" w:color="auto" w:fill="auto"/>
            <w:tcBorders>
              <w:top w:val="none" w:color="000000" w:sz="4" w:space="0"/>
              <w:left w:val="single" w:color="auto" w:sz="4" w:space="0"/>
              <w:bottom w:val="single" w:color="auto" w:sz="4" w:space="0"/>
              <w:right w:val="single" w:color="auto" w:sz="4" w:space="0"/>
            </w:tcBorders>
            <w:tcW w:w="993" w:type="dxa"/>
            <w:vAlign w:val="center"/>
            <w:vMerge w:val="restart"/>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天水市麦积区文体广电和旅游局</w:t>
            </w:r>
            <w:r>
              <w:rPr>
                <w:rFonts w:ascii="仿宋" w:hAnsi="仿宋" w:eastAsia="仿宋" w:cs="宋体"/>
                <w:color w:val="000000"/>
                <w:sz w:val="16"/>
                <w:szCs w:val="16"/>
              </w:rPr>
            </w:r>
          </w:p>
        </w:tc>
        <w:tc>
          <w:tcPr>
            <w:shd w:val="clear" w:color="auto" w:fill="auto"/>
            <w:tcBorders>
              <w:top w:val="none" w:color="000000" w:sz="4" w:space="0"/>
              <w:left w:val="single" w:color="auto" w:sz="4" w:space="0"/>
              <w:bottom w:val="single" w:color="000000" w:sz="4" w:space="0"/>
              <w:right w:val="single" w:color="auto" w:sz="4" w:space="0"/>
            </w:tcBorders>
            <w:tcW w:w="992" w:type="dxa"/>
            <w:vAlign w:val="center"/>
            <w:vMerge w:val="restart"/>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政务服务管理股</w:t>
            </w:r>
            <w:r>
              <w:rPr>
                <w:rFonts w:ascii="仿宋" w:hAnsi="仿宋" w:eastAsia="仿宋" w:cs="宋体"/>
                <w:color w:val="000000"/>
                <w:sz w:val="16"/>
                <w:szCs w:val="16"/>
              </w:rPr>
            </w:r>
          </w:p>
        </w:tc>
        <w:tc>
          <w:tcPr>
            <w:shd w:val="clear" w:color="auto" w:fill="auto"/>
            <w:tcBorders>
              <w:top w:val="none" w:color="000000" w:sz="4" w:space="0"/>
              <w:left w:val="single" w:color="auto" w:sz="4" w:space="0"/>
              <w:bottom w:val="single" w:color="auto" w:sz="4" w:space="0"/>
              <w:right w:val="single" w:color="auto" w:sz="4" w:space="0"/>
            </w:tcBorders>
            <w:tcW w:w="3685" w:type="dxa"/>
            <w:vAlign w:val="center"/>
            <w:vMerge w:val="restart"/>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1.《中华人民共和国文物保护法》(2002年10月28日第九届全国人大常委会第三十次会议通过，2017年11月4日修正)第十七条  文物保护单位的保护范围内不得进行其他建设工程或者爆破、钻探、挖掘等作业。但是，因特殊情况需要在文物保护单位的保护范围内进行其他建设工程或者爆破、钻探、挖掘等作业的，必须保证文物保护单位的安全，并经核定公布该文物保护单位的人民政府批准，在批准前应当征得上一级人民政府文</w:t>
            </w:r>
            <w:r>
              <w:rPr>
                <w:rFonts w:hint="eastAsia" w:ascii="仿宋" w:hAnsi="仿宋" w:eastAsia="仿宋" w:cs="宋体"/>
                <w:color w:val="000000"/>
                <w:sz w:val="16"/>
                <w:szCs w:val="16"/>
              </w:rPr>
              <w:t xml:space="preserve">物行政部门同意。 第十八条第二款  在文物保护单位的建设控制地带内进行建设工程，不得破坏文物保护单位的历史风貌；工程设计方案应当根据文物保护单位的级别，经相应的文物行政部门同意后，报城乡建设规划部门批准。第二十九条 进行大型基本建设工程，建设单位应当事先报请省、自治区、直辖市人民政府文物行政部门组织从事考古发掘的单位在工程范围内有可能埋藏文物的地方进行考古调查、勘探。第三十条 需要配合建设工程进行的考古发掘工程，应当由省、自治区、直辖市文物行政部门在勘探工作的基础上提出发掘计划，报国务院文物行政部门批准。 </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2.根据国务院《关于印发清理规范投资项目报建审批事项实施方案的通知》（国发〔2016〕29号）要求，文物保护单位的保护范围内进行其他建设工程或者爆破、钻探、挖掘等作业的许可”“文物保护单位的建设控制地带内进行建设工程的许可”“进行大型基本建设工程前在工程范围内有可能埋藏文物的地方进行考古调查、勘探的许可”“配合建设工程进行考古发掘的许可”，合并为“建设工程文物保护和考古许可”。</w:t>
            </w:r>
            <w:r>
              <w:rPr>
                <w:rFonts w:ascii="仿宋" w:hAnsi="仿宋" w:eastAsia="仿宋" w:cs="宋体"/>
                <w:color w:val="000000"/>
                <w:sz w:val="16"/>
                <w:szCs w:val="16"/>
              </w:rPr>
            </w:r>
          </w:p>
        </w:tc>
        <w:tc>
          <w:tcPr>
            <w:shd w:val="clear" w:color="auto" w:fill="auto"/>
            <w:tcBorders>
              <w:top w:val="none" w:color="000000" w:sz="4" w:space="0"/>
              <w:left w:val="single" w:color="auto" w:sz="4" w:space="0"/>
              <w:bottom w:val="single" w:color="auto" w:sz="4" w:space="0"/>
              <w:right w:val="single" w:color="auto" w:sz="4" w:space="0"/>
            </w:tcBorders>
            <w:tcW w:w="1843" w:type="dxa"/>
            <w:vAlign w:val="center"/>
            <w:vMerge w:val="restart"/>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1.受理阶段责任：公示依法应当提交的材料；一次性告知补正材料；依法受理或不予受理（不予受理应告知理由）。</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2.审查阶段责任：对申请资料审核（包括：申请文件、建设工程的规划、设计方案；工程对文物可能产生破坏或影响的评估报告及为保护文物安全及历史、自然环境所采用的相关措施设计；涉及地下遗存的，应提供考古勘探发掘资料)。 </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3.决定阶段责任：组织专家提出意见，并报分管局长审批；</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4.符合条件的予以审批、不符合条件的将材料退回，并书面告知申请人。</w:t>
            </w:r>
            <w:r>
              <w:rPr>
                <w:rFonts w:ascii="仿宋" w:hAnsi="仿宋" w:eastAsia="仿宋" w:cs="宋体"/>
                <w:color w:val="000000"/>
                <w:sz w:val="16"/>
                <w:szCs w:val="16"/>
              </w:rPr>
            </w:r>
          </w:p>
        </w:tc>
        <w:tc>
          <w:tcPr>
            <w:shd w:val="clear" w:color="auto" w:fill="auto"/>
            <w:tcBorders>
              <w:top w:val="none" w:color="000000" w:sz="4" w:space="0"/>
              <w:left w:val="single" w:color="auto" w:sz="4" w:space="0"/>
              <w:bottom w:val="single" w:color="auto" w:sz="4" w:space="0"/>
              <w:right w:val="single" w:color="auto" w:sz="4" w:space="0"/>
            </w:tcBorders>
            <w:tcW w:w="1701" w:type="dxa"/>
            <w:vAlign w:val="center"/>
            <w:vMerge w:val="restart"/>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因不履行或不正确履行行政职责，有下列情形，行政机关及相关工作人员应承担相应责任：</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1.对符合法定条件的行政许可申请不予受理的；</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2.对不符合法定条件的申请人准予行政许可，或者超越法定职权做出准予行政许可的；</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3.对符合法定条件的申请人不予行政许可或不在法定期限内做出准予行政许可的；</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4.违反法定程序实施许可的；</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5.办理许可、实施监督检查，索取或者收受他人财物或者谋取其他利益的；</w:t>
            </w:r>
            <w:r>
              <w:rPr>
                <w:rFonts w:ascii="仿宋" w:hAnsi="仿宋" w:eastAsia="仿宋" w:cs="宋体"/>
                <w:color w:val="000000"/>
                <w:sz w:val="16"/>
                <w:szCs w:val="16"/>
              </w:rPr>
            </w:r>
          </w:p>
        </w:tc>
      </w:tr>
      <w:tr>
        <w:trPr>
          <w:trHeight w:val="6780"/>
        </w:trPr>
        <w:tc>
          <w:tcPr>
            <w:shd w:val="clear" w:color="auto" w:fill="auto"/>
            <w:tcBorders>
              <w:top w:val="none" w:color="000000" w:sz="4" w:space="0"/>
              <w:left w:val="single" w:color="auto" w:sz="4" w:space="0"/>
              <w:bottom w:val="single" w:color="auto" w:sz="4" w:space="0"/>
              <w:right w:val="single" w:color="auto" w:sz="4" w:space="0"/>
            </w:tcBorders>
            <w:tcW w:w="675"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2</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不可移动文物修缮审批</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left"/>
              <w:rPr>
                <w:rFonts w:ascii="仿宋" w:hAnsi="仿宋" w:eastAsia="仿宋" w:cs="宋体"/>
                <w:sz w:val="16"/>
                <w:szCs w:val="16"/>
              </w:rPr>
            </w:pPr>
            <w:r>
              <w:rPr>
                <w:rFonts w:hint="eastAsia" w:ascii="仿宋" w:hAnsi="仿宋" w:eastAsia="仿宋" w:cs="宋体"/>
                <w:sz w:val="16"/>
                <w:szCs w:val="16"/>
              </w:rPr>
              <w:t xml:space="preserve">县级文物保护单位及尚未核定公布为文物保护单位的不可移动文物修缮审批</w:t>
            </w:r>
            <w:r>
              <w:rPr>
                <w:rFonts w:ascii="仿宋" w:hAnsi="仿宋" w:eastAsia="仿宋" w:cs="宋体"/>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center"/>
              <w:rPr>
                <w:rFonts w:ascii="仿宋" w:hAnsi="仿宋" w:eastAsia="仿宋" w:cs="宋体"/>
                <w:sz w:val="16"/>
                <w:szCs w:val="16"/>
              </w:rPr>
            </w:pPr>
            <w:r>
              <w:rPr>
                <w:rFonts w:hint="eastAsia" w:ascii="仿宋" w:hAnsi="仿宋" w:eastAsia="仿宋" w:cs="宋体"/>
                <w:sz w:val="16"/>
                <w:szCs w:val="16"/>
              </w:rPr>
              <w:t xml:space="preserve">行政许可</w:t>
            </w:r>
            <w:r>
              <w:rPr>
                <w:rFonts w:ascii="仿宋" w:hAnsi="仿宋" w:eastAsia="仿宋" w:cs="宋体"/>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3"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天水市麦积区文体广电和旅游局</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政务服务管理股</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3685"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1.《中华人民共和国文物保护法》(2002年10月28日第九届全国人大常委会第三十次会议通过，2017年11月4日修正)第二十一条  对文物保护单位进行修缮，应当根据文物保护单位的级别报相应的文物行政部门批准。第二十五条：非国有不可移动文物转让、抵押或者改变用途的，应当根据其级别报相应的文物行政部门备案；由当地人民政府出资帮助修缮的，应当报相应的文物行政部门批准。</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2.《中华人民共和国文物保护法实施条例》(2003年5月13日国务院第8次常务会议通过，2016年2月6日修订)第十八条：文物行政主管部门在审批文物保护单位的修缮计划和工程设计方案前，应当征求上一级人民政府文物行政主管部门的意见。 </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3.《文物保护工程管理办法》（文化部第26号令）第十条  全国重点文物保护单位保护工程，以省、自治区、直辖市文物行政部门为申报机关，国家文物局为审批机关。</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widowControl w:val="true"/>
              <w:pBdr/>
              <w:spacing/>
              <w:ind/>
              <w:jc w:val="left"/>
              <w:rPr>
                <w:rFonts w:ascii="仿宋" w:hAnsi="仿宋" w:eastAsia="仿宋" w:cs="宋体"/>
                <w:sz w:val="16"/>
                <w:szCs w:val="16"/>
              </w:rPr>
            </w:pPr>
            <w:r>
              <w:rPr>
                <w:rFonts w:hint="eastAsia" w:ascii="仿宋" w:hAnsi="仿宋" w:eastAsia="仿宋" w:cs="宋体"/>
                <w:sz w:val="16"/>
                <w:szCs w:val="16"/>
              </w:rPr>
              <w:t xml:space="preserve">1.受理阶段责任：公示依法应当提交的材料；一次性告知补正材料；依法受理或不予受理（不予受理应告知理由）。</w:t>
            </w:r>
            <w:r>
              <w:rPr>
                <w:rFonts w:hint="eastAsia" w:ascii="仿宋" w:hAnsi="仿宋" w:eastAsia="仿宋" w:cs="宋体"/>
                <w:sz w:val="16"/>
                <w:szCs w:val="16"/>
              </w:rPr>
              <w:br/>
            </w:r>
            <w:r>
              <w:rPr>
                <w:rFonts w:hint="eastAsia" w:ascii="仿宋" w:hAnsi="仿宋" w:eastAsia="仿宋" w:cs="宋体"/>
                <w:sz w:val="16"/>
                <w:szCs w:val="16"/>
              </w:rPr>
              <w:t xml:space="preserve">2.审查阶段责任：对工程立项报告、设计方案、施工技术设计文件等申请材料进行审核。</w:t>
            </w:r>
            <w:r>
              <w:rPr>
                <w:rFonts w:hint="eastAsia" w:ascii="仿宋" w:hAnsi="仿宋" w:eastAsia="仿宋" w:cs="宋体"/>
                <w:sz w:val="16"/>
                <w:szCs w:val="16"/>
              </w:rPr>
              <w:br/>
            </w:r>
            <w:r>
              <w:rPr>
                <w:rFonts w:hint="eastAsia" w:ascii="仿宋" w:hAnsi="仿宋" w:eastAsia="仿宋" w:cs="宋体"/>
                <w:sz w:val="16"/>
                <w:szCs w:val="16"/>
              </w:rPr>
              <w:t xml:space="preserve">3.决定阶段责任：符合条件的予以审批，不符合条件的将材料退回，并告知申请人。</w:t>
            </w:r>
            <w:r>
              <w:rPr>
                <w:rFonts w:ascii="仿宋" w:hAnsi="仿宋" w:eastAsia="仿宋" w:cs="宋体"/>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pPr>
              <w:widowControl w:val="true"/>
              <w:pBdr/>
              <w:spacing/>
              <w:ind/>
              <w:jc w:val="left"/>
              <w:rPr>
                <w:rFonts w:ascii="仿宋" w:hAnsi="仿宋" w:eastAsia="仿宋" w:cs="宋体"/>
                <w:sz w:val="16"/>
                <w:szCs w:val="16"/>
              </w:rPr>
            </w:pPr>
            <w:r>
              <w:rPr>
                <w:rFonts w:hint="eastAsia" w:ascii="仿宋" w:hAnsi="仿宋" w:eastAsia="仿宋" w:cs="宋体"/>
                <w:sz w:val="16"/>
                <w:szCs w:val="16"/>
              </w:rPr>
              <w:t xml:space="preserve">因不履行或不正确履行行政职责，有下列情形，行政机关及相关工作人员应承担相应责任：</w:t>
            </w:r>
            <w:r>
              <w:rPr>
                <w:rFonts w:hint="eastAsia" w:ascii="仿宋" w:hAnsi="仿宋" w:eastAsia="仿宋" w:cs="宋体"/>
                <w:sz w:val="16"/>
                <w:szCs w:val="16"/>
              </w:rPr>
              <w:br/>
            </w:r>
            <w:r>
              <w:rPr>
                <w:rFonts w:hint="eastAsia" w:ascii="仿宋" w:hAnsi="仿宋" w:eastAsia="仿宋" w:cs="宋体"/>
                <w:sz w:val="16"/>
                <w:szCs w:val="16"/>
              </w:rPr>
              <w:t xml:space="preserve">1.对符合法定条件的行政许可申请不予受理的；</w:t>
            </w:r>
            <w:r>
              <w:rPr>
                <w:rFonts w:hint="eastAsia" w:ascii="仿宋" w:hAnsi="仿宋" w:eastAsia="仿宋" w:cs="宋体"/>
                <w:sz w:val="16"/>
                <w:szCs w:val="16"/>
              </w:rPr>
              <w:br/>
            </w:r>
            <w:r>
              <w:rPr>
                <w:rFonts w:hint="eastAsia" w:ascii="仿宋" w:hAnsi="仿宋" w:eastAsia="仿宋" w:cs="宋体"/>
                <w:sz w:val="16"/>
                <w:szCs w:val="16"/>
              </w:rPr>
              <w:t xml:space="preserve">2.对不符合法定条件的申请人准予行政许可，或者超越法定职权做出准予行政许可的；</w:t>
            </w:r>
            <w:r>
              <w:rPr>
                <w:rFonts w:hint="eastAsia" w:ascii="仿宋" w:hAnsi="仿宋" w:eastAsia="仿宋" w:cs="宋体"/>
                <w:sz w:val="16"/>
                <w:szCs w:val="16"/>
              </w:rPr>
              <w:br/>
            </w:r>
            <w:r>
              <w:rPr>
                <w:rFonts w:hint="eastAsia" w:ascii="仿宋" w:hAnsi="仿宋" w:eastAsia="仿宋" w:cs="宋体"/>
                <w:sz w:val="16"/>
                <w:szCs w:val="16"/>
              </w:rPr>
              <w:t xml:space="preserve">3.对符合法定条件的申请人不予行政许可或不在法定期限内做出准予行政许可的；</w:t>
            </w:r>
            <w:r>
              <w:rPr>
                <w:rFonts w:hint="eastAsia" w:ascii="仿宋" w:hAnsi="仿宋" w:eastAsia="仿宋" w:cs="宋体"/>
                <w:sz w:val="16"/>
                <w:szCs w:val="16"/>
              </w:rPr>
              <w:br/>
            </w:r>
            <w:r>
              <w:rPr>
                <w:rFonts w:hint="eastAsia" w:ascii="仿宋" w:hAnsi="仿宋" w:eastAsia="仿宋" w:cs="宋体"/>
                <w:sz w:val="16"/>
                <w:szCs w:val="16"/>
              </w:rPr>
              <w:t xml:space="preserve">4.违反法定程序实施许可的；</w:t>
            </w:r>
            <w:r>
              <w:rPr>
                <w:rFonts w:hint="eastAsia" w:ascii="仿宋" w:hAnsi="仿宋" w:eastAsia="仿宋" w:cs="宋体"/>
                <w:sz w:val="16"/>
                <w:szCs w:val="16"/>
              </w:rPr>
              <w:br/>
            </w:r>
            <w:r>
              <w:rPr>
                <w:rFonts w:hint="eastAsia" w:ascii="仿宋" w:hAnsi="仿宋" w:eastAsia="仿宋" w:cs="宋体"/>
                <w:sz w:val="16"/>
                <w:szCs w:val="16"/>
              </w:rPr>
              <w:t xml:space="preserve">5.办理许可、实施监督检查，索取或者收受他人财物或者谋取其他利益的；</w:t>
            </w:r>
            <w:r>
              <w:rPr>
                <w:rFonts w:ascii="仿宋" w:hAnsi="仿宋" w:eastAsia="仿宋" w:cs="宋体"/>
                <w:sz w:val="16"/>
                <w:szCs w:val="16"/>
              </w:rPr>
            </w:r>
          </w:p>
        </w:tc>
      </w:tr>
      <w:tr>
        <w:trPr>
          <w:trHeight w:val="8350"/>
        </w:trPr>
        <w:tc>
          <w:tcPr>
            <w:shd w:val="clear" w:color="auto" w:fill="auto"/>
            <w:tcBorders>
              <w:top w:val="none" w:color="000000" w:sz="4" w:space="0"/>
              <w:left w:val="single" w:color="auto" w:sz="4" w:space="0"/>
              <w:bottom w:val="single" w:color="auto" w:sz="4" w:space="0"/>
              <w:right w:val="single" w:color="auto" w:sz="4" w:space="0"/>
            </w:tcBorders>
            <w:tcW w:w="675"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3</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文物保护单位原址保护措施审批</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left"/>
              <w:rPr>
                <w:rFonts w:ascii="仿宋" w:hAnsi="仿宋" w:eastAsia="仿宋" w:cs="宋体"/>
                <w:sz w:val="16"/>
                <w:szCs w:val="16"/>
              </w:rPr>
            </w:pPr>
            <w:r>
              <w:rPr>
                <w:rFonts w:hint="eastAsia" w:ascii="仿宋" w:hAnsi="仿宋" w:eastAsia="仿宋" w:cs="宋体"/>
                <w:sz w:val="16"/>
                <w:szCs w:val="16"/>
              </w:rPr>
              <w:t xml:space="preserve">县级文物保护单位及尚未核定公布为文物保护单位的不可移动文物原址保护方案审批</w:t>
            </w:r>
            <w:r>
              <w:rPr>
                <w:rFonts w:ascii="仿宋" w:hAnsi="仿宋" w:eastAsia="仿宋" w:cs="宋体"/>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center"/>
              <w:rPr>
                <w:rFonts w:ascii="仿宋" w:hAnsi="仿宋" w:eastAsia="仿宋" w:cs="宋体"/>
                <w:sz w:val="16"/>
                <w:szCs w:val="16"/>
              </w:rPr>
            </w:pPr>
            <w:r>
              <w:rPr>
                <w:rFonts w:hint="eastAsia" w:ascii="仿宋" w:hAnsi="仿宋" w:eastAsia="仿宋" w:cs="宋体"/>
                <w:sz w:val="16"/>
                <w:szCs w:val="16"/>
              </w:rPr>
              <w:t xml:space="preserve">行政许可</w:t>
            </w:r>
            <w:r>
              <w:rPr>
                <w:rFonts w:ascii="仿宋" w:hAnsi="仿宋" w:eastAsia="仿宋" w:cs="宋体"/>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3"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天水市麦积区文体广电和旅游局</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政务服务管理股</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3685"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《中华人民</w:t>
            </w:r>
            <w:r>
              <w:rPr>
                <w:rFonts w:hint="eastAsia" w:ascii="仿宋" w:hAnsi="仿宋" w:eastAsia="仿宋" w:cs="宋体"/>
                <w:color w:val="000000"/>
                <w:sz w:val="16"/>
                <w:szCs w:val="16"/>
              </w:rPr>
              <w:t xml:space="preserve">共和国文物保护法》(2002年10月28日第九届全国人大常委会第三十次会议通过，2017年11月4日修正)第二十条  建设工程选址，应当尽可能避开不可移动文物；因特殊情况不能避开的，对文物保护单位应当尽可能实施原址保护。实施原址保护的，建设单位应当事先确定保护措施，根据文物保护单位的级别报相应的文物行政部门批准，并将保护措施列入可行性研究报告或者设计任务书。无法实施原址保护，必须迁移异地保护或者拆除的，应当报省、自治区、直辖市人民政府批准；迁移或者拆除省级文物保护单位的，批准前须征得国务院文物行政部门同意。</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widowControl w:val="true"/>
              <w:pBdr/>
              <w:spacing/>
              <w:ind/>
              <w:jc w:val="left"/>
              <w:rPr>
                <w:rFonts w:ascii="仿宋" w:hAnsi="仿宋" w:eastAsia="仿宋" w:cs="宋体"/>
                <w:sz w:val="16"/>
                <w:szCs w:val="16"/>
              </w:rPr>
            </w:pPr>
            <w:r>
              <w:rPr>
                <w:rFonts w:hint="eastAsia" w:ascii="仿宋" w:hAnsi="仿宋" w:eastAsia="仿宋" w:cs="宋体"/>
                <w:sz w:val="16"/>
                <w:szCs w:val="16"/>
              </w:rPr>
              <w:t xml:space="preserve">1.受理阶段责任：公示依法应当提交的材料；一次性告知补正材料；依法受理或不予受理（不予受理应告知理由）。</w:t>
            </w:r>
            <w:r>
              <w:rPr>
                <w:rFonts w:hint="eastAsia" w:ascii="仿宋" w:hAnsi="仿宋" w:eastAsia="仿宋" w:cs="宋体"/>
                <w:sz w:val="16"/>
                <w:szCs w:val="16"/>
              </w:rPr>
              <w:br/>
            </w:r>
            <w:r>
              <w:rPr>
                <w:rFonts w:hint="eastAsia" w:ascii="仿宋" w:hAnsi="仿宋" w:eastAsia="仿宋" w:cs="宋体"/>
                <w:sz w:val="16"/>
                <w:szCs w:val="16"/>
              </w:rPr>
              <w:t xml:space="preserve">2.审查阶段责任：对工程设计方案、施工技术设计文件等申请材料进行审核。</w:t>
            </w:r>
            <w:r>
              <w:rPr>
                <w:rFonts w:hint="eastAsia" w:ascii="仿宋" w:hAnsi="仿宋" w:eastAsia="仿宋" w:cs="宋体"/>
                <w:sz w:val="16"/>
                <w:szCs w:val="16"/>
              </w:rPr>
              <w:br/>
            </w:r>
            <w:r>
              <w:rPr>
                <w:rFonts w:hint="eastAsia" w:ascii="仿宋" w:hAnsi="仿宋" w:eastAsia="仿宋" w:cs="宋体"/>
                <w:sz w:val="16"/>
                <w:szCs w:val="16"/>
              </w:rPr>
              <w:t xml:space="preserve">3.决定阶段责任：提出意见，并报分管局长审批。</w:t>
            </w:r>
            <w:r>
              <w:rPr>
                <w:rFonts w:hint="eastAsia" w:ascii="仿宋" w:hAnsi="仿宋" w:eastAsia="仿宋" w:cs="宋体"/>
                <w:sz w:val="16"/>
                <w:szCs w:val="16"/>
              </w:rPr>
              <w:br/>
            </w:r>
            <w:r>
              <w:rPr>
                <w:rFonts w:hint="eastAsia" w:ascii="仿宋" w:hAnsi="仿宋" w:eastAsia="仿宋" w:cs="宋体"/>
                <w:sz w:val="16"/>
                <w:szCs w:val="16"/>
              </w:rPr>
              <w:t xml:space="preserve">4.符合条件的予以审批、不符合条件的将材料退回，并书面告知申请人。</w:t>
            </w:r>
            <w:r>
              <w:rPr>
                <w:rFonts w:ascii="仿宋" w:hAnsi="仿宋" w:eastAsia="仿宋" w:cs="宋体"/>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pPr>
              <w:widowControl w:val="true"/>
              <w:pBdr/>
              <w:spacing/>
              <w:ind/>
              <w:jc w:val="left"/>
              <w:rPr>
                <w:rFonts w:ascii="仿宋" w:hAnsi="仿宋" w:eastAsia="仿宋" w:cs="宋体"/>
                <w:sz w:val="16"/>
                <w:szCs w:val="16"/>
              </w:rPr>
            </w:pPr>
            <w:r>
              <w:rPr>
                <w:rFonts w:hint="eastAsia" w:ascii="仿宋" w:hAnsi="仿宋" w:eastAsia="仿宋" w:cs="宋体"/>
                <w:sz w:val="16"/>
                <w:szCs w:val="16"/>
              </w:rPr>
              <w:t xml:space="preserve">因不履行或不正确履行行政职责，有下列情形，行政机关及相关工作人员应承担相应责任： </w:t>
            </w:r>
            <w:r>
              <w:rPr>
                <w:rFonts w:hint="eastAsia" w:ascii="仿宋" w:hAnsi="仿宋" w:eastAsia="仿宋" w:cs="宋体"/>
                <w:sz w:val="16"/>
                <w:szCs w:val="16"/>
              </w:rPr>
              <w:br/>
            </w:r>
            <w:r>
              <w:rPr>
                <w:rFonts w:hint="eastAsia" w:ascii="仿宋" w:hAnsi="仿宋" w:eastAsia="仿宋" w:cs="宋体"/>
                <w:sz w:val="16"/>
                <w:szCs w:val="16"/>
              </w:rPr>
              <w:t xml:space="preserve">1.对符合法定条件的行政许可申请不予受理的； </w:t>
            </w:r>
            <w:r>
              <w:rPr>
                <w:rFonts w:hint="eastAsia" w:ascii="仿宋" w:hAnsi="仿宋" w:eastAsia="仿宋" w:cs="宋体"/>
                <w:sz w:val="16"/>
                <w:szCs w:val="16"/>
              </w:rPr>
              <w:br/>
            </w:r>
            <w:r>
              <w:rPr>
                <w:rFonts w:hint="eastAsia" w:ascii="仿宋" w:hAnsi="仿宋" w:eastAsia="仿宋" w:cs="宋体"/>
                <w:sz w:val="16"/>
                <w:szCs w:val="16"/>
              </w:rPr>
              <w:t xml:space="preserve">2.对不符合法定条件的申请人准予行政许可，或者超越法定职权做出准予行政许可的； </w:t>
            </w:r>
            <w:r>
              <w:rPr>
                <w:rFonts w:hint="eastAsia" w:ascii="仿宋" w:hAnsi="仿宋" w:eastAsia="仿宋" w:cs="宋体"/>
                <w:sz w:val="16"/>
                <w:szCs w:val="16"/>
              </w:rPr>
              <w:br/>
            </w:r>
            <w:r>
              <w:rPr>
                <w:rFonts w:hint="eastAsia" w:ascii="仿宋" w:hAnsi="仿宋" w:eastAsia="仿宋" w:cs="宋体"/>
                <w:sz w:val="16"/>
                <w:szCs w:val="16"/>
              </w:rPr>
              <w:t xml:space="preserve">3.对符合法定条件的申请人不予行政许可或不在法定期限内做出准予行政许可的； </w:t>
            </w:r>
            <w:r>
              <w:rPr>
                <w:rFonts w:hint="eastAsia" w:ascii="仿宋" w:hAnsi="仿宋" w:eastAsia="仿宋" w:cs="宋体"/>
                <w:sz w:val="16"/>
                <w:szCs w:val="16"/>
              </w:rPr>
              <w:br/>
            </w:r>
            <w:r>
              <w:rPr>
                <w:rFonts w:hint="eastAsia" w:ascii="仿宋" w:hAnsi="仿宋" w:eastAsia="仿宋" w:cs="宋体"/>
                <w:sz w:val="16"/>
                <w:szCs w:val="16"/>
              </w:rPr>
              <w:t xml:space="preserve">4.违反法定程序实施许可的； </w:t>
            </w:r>
            <w:r>
              <w:rPr>
                <w:rFonts w:hint="eastAsia" w:ascii="仿宋" w:hAnsi="仿宋" w:eastAsia="仿宋" w:cs="宋体"/>
                <w:sz w:val="16"/>
                <w:szCs w:val="16"/>
              </w:rPr>
              <w:br/>
            </w:r>
            <w:r>
              <w:rPr>
                <w:rFonts w:hint="eastAsia" w:ascii="仿宋" w:hAnsi="仿宋" w:eastAsia="仿宋" w:cs="宋体"/>
                <w:sz w:val="16"/>
                <w:szCs w:val="16"/>
              </w:rPr>
              <w:t xml:space="preserve">5.办理许可、实施监督检查，索取或者收受他人财物或者谋取其他利益的； </w:t>
            </w:r>
            <w:r>
              <w:rPr>
                <w:rFonts w:ascii="仿宋" w:hAnsi="仿宋" w:eastAsia="仿宋" w:cs="宋体"/>
                <w:sz w:val="16"/>
                <w:szCs w:val="16"/>
              </w:rPr>
            </w:r>
          </w:p>
        </w:tc>
      </w:tr>
      <w:tr>
        <w:trPr>
          <w:trHeight w:val="8492"/>
        </w:trPr>
        <w:tc>
          <w:tcPr>
            <w:shd w:val="clear" w:color="auto" w:fill="auto"/>
            <w:tcBorders>
              <w:top w:val="none" w:color="000000" w:sz="4" w:space="0"/>
              <w:left w:val="single" w:color="auto" w:sz="4" w:space="0"/>
              <w:bottom w:val="single" w:color="auto" w:sz="4" w:space="0"/>
              <w:right w:val="single" w:color="auto" w:sz="4" w:space="0"/>
            </w:tcBorders>
            <w:tcW w:w="675"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4</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非国有文物收藏单位和其他单位举办展览借用国有馆藏文物审批</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left"/>
              <w:rPr>
                <w:rFonts w:ascii="仿宋" w:hAnsi="仿宋" w:eastAsia="仿宋" w:cs="宋体"/>
                <w:sz w:val="16"/>
                <w:szCs w:val="16"/>
              </w:rPr>
            </w:pPr>
            <w:r>
              <w:rPr>
                <w:rFonts w:hint="eastAsia" w:ascii="仿宋" w:hAnsi="仿宋" w:eastAsia="仿宋" w:cs="宋体"/>
                <w:sz w:val="16"/>
                <w:szCs w:val="16"/>
              </w:rPr>
              <w:t xml:space="preserve">非国有文物收藏单位和其他单位举办展览借用县级国有馆藏文物审批</w:t>
            </w:r>
            <w:r>
              <w:rPr>
                <w:rFonts w:ascii="仿宋" w:hAnsi="仿宋" w:eastAsia="仿宋" w:cs="宋体"/>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center"/>
              <w:rPr>
                <w:rFonts w:ascii="仿宋" w:hAnsi="仿宋" w:eastAsia="仿宋" w:cs="宋体"/>
                <w:sz w:val="16"/>
                <w:szCs w:val="16"/>
              </w:rPr>
            </w:pPr>
            <w:r>
              <w:rPr>
                <w:rFonts w:hint="eastAsia" w:ascii="仿宋" w:hAnsi="仿宋" w:eastAsia="仿宋" w:cs="宋体"/>
                <w:sz w:val="16"/>
                <w:szCs w:val="16"/>
              </w:rPr>
              <w:t xml:space="preserve">行政许可</w:t>
            </w:r>
            <w:r>
              <w:rPr>
                <w:rFonts w:ascii="仿宋" w:hAnsi="仿宋" w:eastAsia="仿宋" w:cs="宋体"/>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3"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天水市麦积区文体广电和旅游局</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政务服务管理股</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3685"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《中华人民共和国文物保护法》(2002年10月28日第九届全国人大常委会第三十次会议通过，2017年11月4日修正)第四十条第二款  非国有文物收藏单位和其他单位举办展览需借用国有馆藏文物的，应当报主管的文物行政部门批准；借用国有馆藏一级文物，应当经国务院文物行政部门批准。 文物收藏单位之间借用文物的最长期限不得超过三年。</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widowControl w:val="true"/>
              <w:pBdr/>
              <w:spacing/>
              <w:ind/>
              <w:jc w:val="left"/>
              <w:rPr>
                <w:rFonts w:ascii="仿宋" w:hAnsi="仿宋" w:eastAsia="仿宋" w:cs="宋体"/>
                <w:sz w:val="16"/>
                <w:szCs w:val="16"/>
              </w:rPr>
            </w:pPr>
            <w:r>
              <w:rPr>
                <w:rFonts w:hint="eastAsia" w:ascii="仿宋" w:hAnsi="仿宋" w:eastAsia="仿宋" w:cs="宋体"/>
                <w:sz w:val="16"/>
                <w:szCs w:val="16"/>
              </w:rPr>
              <w:t xml:space="preserve">1.受理阶段责任：公示依法应当提交的材料；一次性告知补正材料；依法受理或不予受理（不予受理应告知理由）。</w:t>
            </w:r>
            <w:r>
              <w:rPr>
                <w:rFonts w:hint="eastAsia" w:ascii="仿宋" w:hAnsi="仿宋" w:eastAsia="仿宋" w:cs="宋体"/>
                <w:sz w:val="16"/>
                <w:szCs w:val="16"/>
              </w:rPr>
              <w:br/>
            </w:r>
            <w:r>
              <w:rPr>
                <w:rFonts w:hint="eastAsia" w:ascii="仿宋" w:hAnsi="仿宋" w:eastAsia="仿宋" w:cs="宋体"/>
                <w:sz w:val="16"/>
                <w:szCs w:val="16"/>
              </w:rPr>
              <w:t xml:space="preserve">2.审查阶段责任：对提交的书面申请、拟退出馆藏的文物藏品档案副本拟退出馆藏的文物清单文物收藏单位或受委托的专家组评估认定意见等材料进行审核。</w:t>
            </w:r>
            <w:r>
              <w:rPr>
                <w:rFonts w:hint="eastAsia" w:ascii="仿宋" w:hAnsi="仿宋" w:eastAsia="仿宋" w:cs="宋体"/>
                <w:sz w:val="16"/>
                <w:szCs w:val="16"/>
              </w:rPr>
              <w:br/>
            </w:r>
            <w:r>
              <w:rPr>
                <w:rFonts w:hint="eastAsia" w:ascii="仿宋" w:hAnsi="仿宋" w:eastAsia="仿宋" w:cs="宋体"/>
                <w:sz w:val="16"/>
                <w:szCs w:val="16"/>
              </w:rPr>
              <w:t xml:space="preserve">3.决定阶段责任：30个工作日内作出许可或不许可的决定，不许可时书面告知理由、并回退材料。</w:t>
            </w:r>
            <w:r>
              <w:rPr>
                <w:rFonts w:hint="eastAsia" w:ascii="仿宋" w:hAnsi="仿宋" w:eastAsia="仿宋" w:cs="宋体"/>
                <w:sz w:val="16"/>
                <w:szCs w:val="16"/>
              </w:rPr>
              <w:br/>
            </w:r>
            <w:r>
              <w:rPr>
                <w:rFonts w:hint="eastAsia" w:ascii="仿宋" w:hAnsi="仿宋" w:eastAsia="仿宋" w:cs="宋体"/>
                <w:sz w:val="16"/>
                <w:szCs w:val="16"/>
              </w:rPr>
              <w:t xml:space="preserve">4.送达阶段责任：依法许可的制发许可文件，送达并信息公开。</w:t>
            </w:r>
            <w:r>
              <w:rPr>
                <w:rFonts w:hint="eastAsia" w:ascii="仿宋" w:hAnsi="仿宋" w:eastAsia="仿宋" w:cs="宋体"/>
                <w:sz w:val="16"/>
                <w:szCs w:val="16"/>
              </w:rPr>
              <w:br/>
            </w:r>
            <w:r>
              <w:rPr>
                <w:rFonts w:hint="eastAsia" w:ascii="仿宋" w:hAnsi="仿宋" w:eastAsia="仿宋" w:cs="宋体"/>
                <w:sz w:val="16"/>
                <w:szCs w:val="16"/>
              </w:rPr>
              <w:t xml:space="preserve">5.事后监管责任：开展定期和不定期检查，根据检查情况，依法采取相关处置措施。</w:t>
            </w:r>
            <w:r>
              <w:rPr>
                <w:rFonts w:ascii="仿宋" w:hAnsi="仿宋" w:eastAsia="仿宋" w:cs="宋体"/>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pPr>
              <w:widowControl w:val="true"/>
              <w:pBdr/>
              <w:spacing/>
              <w:ind/>
              <w:jc w:val="left"/>
              <w:rPr>
                <w:rFonts w:ascii="仿宋" w:hAnsi="仿宋" w:eastAsia="仿宋" w:cs="宋体"/>
                <w:sz w:val="16"/>
                <w:szCs w:val="16"/>
              </w:rPr>
            </w:pPr>
            <w:r>
              <w:rPr>
                <w:rFonts w:hint="eastAsia" w:ascii="仿宋" w:hAnsi="仿宋" w:eastAsia="仿宋" w:cs="宋体"/>
                <w:sz w:val="16"/>
                <w:szCs w:val="16"/>
              </w:rPr>
              <w:t xml:space="preserve">因不履行或不正确履行行政职责，有下列情形，行政机关及相关工作人员应承担相应责任：</w:t>
            </w:r>
            <w:r>
              <w:rPr>
                <w:rFonts w:hint="eastAsia" w:ascii="仿宋" w:hAnsi="仿宋" w:eastAsia="仿宋" w:cs="宋体"/>
                <w:sz w:val="16"/>
                <w:szCs w:val="16"/>
              </w:rPr>
              <w:br/>
            </w:r>
            <w:r>
              <w:rPr>
                <w:rFonts w:hint="eastAsia" w:ascii="仿宋" w:hAnsi="仿宋" w:eastAsia="仿宋" w:cs="宋体"/>
                <w:sz w:val="16"/>
                <w:szCs w:val="16"/>
              </w:rPr>
              <w:t xml:space="preserve">1.对符合法定条件的行政许可申请不予受理的；</w:t>
            </w:r>
            <w:r>
              <w:rPr>
                <w:rFonts w:hint="eastAsia" w:ascii="仿宋" w:hAnsi="仿宋" w:eastAsia="仿宋" w:cs="宋体"/>
                <w:sz w:val="16"/>
                <w:szCs w:val="16"/>
              </w:rPr>
              <w:br/>
            </w:r>
            <w:r>
              <w:rPr>
                <w:rFonts w:hint="eastAsia" w:ascii="仿宋" w:hAnsi="仿宋" w:eastAsia="仿宋" w:cs="宋体"/>
                <w:sz w:val="16"/>
                <w:szCs w:val="16"/>
              </w:rPr>
              <w:t xml:space="preserve">2.对不符合法定条件的申请人准予行政许可，或者超越法定职权做出准予行政许可的；</w:t>
            </w:r>
            <w:r>
              <w:rPr>
                <w:rFonts w:hint="eastAsia" w:ascii="仿宋" w:hAnsi="仿宋" w:eastAsia="仿宋" w:cs="宋体"/>
                <w:sz w:val="16"/>
                <w:szCs w:val="16"/>
              </w:rPr>
              <w:br/>
            </w:r>
            <w:r>
              <w:rPr>
                <w:rFonts w:hint="eastAsia" w:ascii="仿宋" w:hAnsi="仿宋" w:eastAsia="仿宋" w:cs="宋体"/>
                <w:sz w:val="16"/>
                <w:szCs w:val="16"/>
              </w:rPr>
              <w:t xml:space="preserve">3.对符合法定条件的申请人不予行政许可或不在法定期限内做出准予行政许可的；</w:t>
            </w:r>
            <w:r>
              <w:rPr>
                <w:rFonts w:hint="eastAsia" w:ascii="仿宋" w:hAnsi="仿宋" w:eastAsia="仿宋" w:cs="宋体"/>
                <w:sz w:val="16"/>
                <w:szCs w:val="16"/>
              </w:rPr>
              <w:br/>
            </w:r>
            <w:r>
              <w:rPr>
                <w:rFonts w:hint="eastAsia" w:ascii="仿宋" w:hAnsi="仿宋" w:eastAsia="仿宋" w:cs="宋体"/>
                <w:sz w:val="16"/>
                <w:szCs w:val="16"/>
              </w:rPr>
              <w:t xml:space="preserve">4.违反法定程序实施许可的；</w:t>
            </w:r>
            <w:r>
              <w:rPr>
                <w:rFonts w:hint="eastAsia" w:ascii="仿宋" w:hAnsi="仿宋" w:eastAsia="仿宋" w:cs="宋体"/>
                <w:sz w:val="16"/>
                <w:szCs w:val="16"/>
              </w:rPr>
              <w:br/>
            </w:r>
            <w:r>
              <w:rPr>
                <w:rFonts w:hint="eastAsia" w:ascii="仿宋" w:hAnsi="仿宋" w:eastAsia="仿宋" w:cs="宋体"/>
                <w:sz w:val="16"/>
                <w:szCs w:val="16"/>
              </w:rPr>
              <w:t xml:space="preserve">5.办理许可、实施监督检查，索取或者收受他人财物或者谋取其他利益的；</w:t>
            </w:r>
            <w:r>
              <w:rPr>
                <w:rFonts w:ascii="仿宋" w:hAnsi="仿宋" w:eastAsia="仿宋" w:cs="宋体"/>
                <w:sz w:val="16"/>
                <w:szCs w:val="16"/>
              </w:rPr>
            </w:r>
          </w:p>
        </w:tc>
      </w:tr>
      <w:tr>
        <w:trPr>
          <w:trHeight w:val="8492"/>
        </w:trPr>
        <w:tc>
          <w:tcPr>
            <w:shd w:val="clear" w:color="auto" w:fill="auto"/>
            <w:tcBorders>
              <w:top w:val="none" w:color="000000" w:sz="4" w:space="0"/>
              <w:left w:val="single" w:color="auto" w:sz="4" w:space="0"/>
              <w:bottom w:val="single" w:color="auto" w:sz="4" w:space="0"/>
              <w:right w:val="single" w:color="auto" w:sz="4" w:space="0"/>
            </w:tcBorders>
            <w:tcW w:w="675"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5</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互联网上网服务经营活动审批</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left"/>
              <w:rPr>
                <w:rFonts w:ascii="仿宋" w:hAnsi="仿宋" w:eastAsia="仿宋" w:cs="宋体"/>
                <w:sz w:val="16"/>
                <w:szCs w:val="16"/>
              </w:rPr>
            </w:pPr>
            <w:r>
              <w:rPr>
                <w:rFonts w:hint="eastAsia" w:ascii="仿宋" w:hAnsi="仿宋" w:eastAsia="仿宋" w:cs="宋体"/>
                <w:sz w:val="16"/>
                <w:szCs w:val="16"/>
              </w:rPr>
              <w:t xml:space="preserve">　</w:t>
            </w:r>
            <w:r>
              <w:rPr>
                <w:rFonts w:ascii="仿宋" w:hAnsi="仿宋" w:eastAsia="仿宋" w:cs="宋体"/>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center"/>
              <w:rPr>
                <w:rFonts w:ascii="仿宋" w:hAnsi="仿宋" w:eastAsia="仿宋" w:cs="宋体"/>
                <w:sz w:val="16"/>
                <w:szCs w:val="16"/>
              </w:rPr>
            </w:pPr>
            <w:r>
              <w:rPr>
                <w:rFonts w:hint="eastAsia" w:ascii="仿宋" w:hAnsi="仿宋" w:eastAsia="仿宋" w:cs="宋体"/>
                <w:sz w:val="16"/>
                <w:szCs w:val="16"/>
              </w:rPr>
              <w:t xml:space="preserve">行政许可</w:t>
            </w:r>
            <w:r>
              <w:rPr>
                <w:rFonts w:ascii="仿宋" w:hAnsi="仿宋" w:eastAsia="仿宋" w:cs="宋体"/>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3"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天水市麦积区文体广电和旅游局</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政务服务管理股</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3685"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互联网上网服务营业场所管理条例》（《国务院关于修改部分行政法规的决定》（国务院令第666号）已经于2016年1月13日国务院第119次常务会议通过，并自公布之日（2016年3月1日）起施行。根据《国务院关于修改部分行政法规的决定》，文化部对《互联网上网服务营业场所管理条例》（国务院令第363号）的相关条款进行了调整）</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第四条 县级以上人民政府文化行政部门负责互联网上网服务营业场所经营单位的设立审批。</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第七条 国家对互联网上网服务营业场所经营单位的经营活动实行许可制度。未经许可，任何组织和个人不得设立互联网上网服务营业场所，不得从事互联网上网服务经营活动。</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第十一条文化行政部门应当自收到设立申请之日起20个工作日内作出决定；经审查，符合条件的，发给同意筹建的批准文件。　申请人持公安机关批准文件向文化行政部门申请最终审核。文化行政部门应当自收到申请之日起１５个工作日内依据本条例第八条的规定作出决定；经实地检查并审核合格的，发给《网络文化经营许可证》。</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widowControl w:val="true"/>
              <w:pBdr/>
              <w:spacing/>
              <w:ind/>
              <w:jc w:val="left"/>
              <w:rPr>
                <w:rFonts w:ascii="仿宋" w:hAnsi="仿宋" w:eastAsia="仿宋" w:cs="宋体"/>
                <w:sz w:val="16"/>
                <w:szCs w:val="16"/>
              </w:rPr>
            </w:pPr>
            <w:r>
              <w:rPr>
                <w:rFonts w:hint="eastAsia" w:ascii="仿宋" w:hAnsi="仿宋" w:eastAsia="仿宋" w:cs="宋体"/>
                <w:sz w:val="16"/>
                <w:szCs w:val="16"/>
              </w:rPr>
              <w:t xml:space="preserve">1.受理阶段责任：公示依法应当提交的材料；一次性告知补正材料；依法受理或不予受理（不予受理应当告知理由）。 2.审查阶段责任：对申请材料进行预审、提出预审意见；对经营场所、营业设施、设备进行现场检查。 3.决定阶段责任：作出行政许可或者不予行政许可决定，法定告知（不予许可的应当书面告知理由）。 4.送达阶段责任：准予许可的制作许可证件，送达并信息公开。 5.事后监管责任：开展定期和不定期检查，根据检查情况，依法采取相关处置措施。</w:t>
            </w:r>
            <w:r>
              <w:rPr>
                <w:rFonts w:ascii="仿宋" w:hAnsi="仿宋" w:eastAsia="仿宋" w:cs="宋体"/>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pPr>
              <w:widowControl w:val="true"/>
              <w:pBdr/>
              <w:spacing/>
              <w:ind/>
              <w:jc w:val="left"/>
              <w:rPr>
                <w:rFonts w:ascii="仿宋" w:hAnsi="仿宋" w:eastAsia="仿宋" w:cs="宋体"/>
                <w:sz w:val="16"/>
                <w:szCs w:val="16"/>
              </w:rPr>
            </w:pPr>
            <w:r>
              <w:rPr>
                <w:rFonts w:hint="eastAsia" w:ascii="仿宋" w:hAnsi="仿宋" w:eastAsia="仿宋" w:cs="宋体"/>
                <w:sz w:val="16"/>
                <w:szCs w:val="16"/>
              </w:rPr>
              <w:t xml:space="preserve">因不履行或不正确履行行政职责，有下列情形的，行政机关及相应工作人员应承担相应责任： 1.对符合法定条件的行政许可申请不予受理的； 2.对不符合法定条件的申请人准予行政许可或者超越法定职权作出准予行政许可决定的； 3.对符合法定条件的申请人不予行政许可或者不在法定期限内作出准予行政许可决定的； 4.不依法履行监管职责和监管不力，发生违法违规经营行为的； 5.违反法定程序实施行政许可的； 6.违规审批、实施监督检查，索取或者收受他人财物或者谋取其他利益； </w:t>
            </w:r>
            <w:r>
              <w:rPr>
                <w:rFonts w:ascii="仿宋" w:hAnsi="仿宋" w:eastAsia="仿宋" w:cs="宋体"/>
                <w:sz w:val="16"/>
                <w:szCs w:val="16"/>
              </w:rPr>
            </w:r>
          </w:p>
        </w:tc>
      </w:tr>
      <w:tr>
        <w:trPr>
          <w:trHeight w:val="8492"/>
        </w:trPr>
        <w:tc>
          <w:tcPr>
            <w:shd w:val="clear" w:color="auto" w:fill="auto"/>
            <w:tcBorders>
              <w:top w:val="none" w:color="000000" w:sz="4" w:space="0"/>
              <w:left w:val="single" w:color="auto" w:sz="4" w:space="0"/>
              <w:bottom w:val="single" w:color="auto" w:sz="4" w:space="0"/>
              <w:right w:val="single" w:color="auto" w:sz="4" w:space="0"/>
            </w:tcBorders>
            <w:tcW w:w="675"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6</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文艺表演团体设立审批</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left"/>
              <w:rPr>
                <w:rFonts w:ascii="仿宋" w:hAnsi="仿宋" w:eastAsia="仿宋" w:cs="宋体"/>
                <w:sz w:val="16"/>
                <w:szCs w:val="16"/>
              </w:rPr>
            </w:pPr>
            <w:r>
              <w:rPr>
                <w:rFonts w:hint="eastAsia" w:ascii="仿宋" w:hAnsi="仿宋" w:eastAsia="仿宋" w:cs="宋体"/>
                <w:sz w:val="16"/>
                <w:szCs w:val="16"/>
              </w:rPr>
              <w:t xml:space="preserve">　</w:t>
            </w:r>
            <w:r>
              <w:rPr>
                <w:rFonts w:ascii="仿宋" w:hAnsi="仿宋" w:eastAsia="仿宋" w:cs="宋体"/>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center"/>
              <w:rPr>
                <w:rFonts w:ascii="仿宋" w:hAnsi="仿宋" w:eastAsia="仿宋" w:cs="宋体"/>
                <w:sz w:val="16"/>
                <w:szCs w:val="16"/>
              </w:rPr>
            </w:pPr>
            <w:r>
              <w:rPr>
                <w:rFonts w:hint="eastAsia" w:ascii="仿宋" w:hAnsi="仿宋" w:eastAsia="仿宋" w:cs="宋体"/>
                <w:sz w:val="16"/>
                <w:szCs w:val="16"/>
              </w:rPr>
              <w:t xml:space="preserve">行政许可</w:t>
            </w:r>
            <w:r>
              <w:rPr>
                <w:rFonts w:ascii="仿宋" w:hAnsi="仿宋" w:eastAsia="仿宋" w:cs="宋体"/>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3"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天水市麦积区文体广电和旅游局</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政务服务管理股</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3685"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营业性演出管理条例》（《国务院关于修改部分行政法规的决定》（国务院令第666号）已经于2016年1月13日国务院第119次常务会议通过，并于2016年3月1日公布施行。根据《国务院关于修改部分行政法规的决定》，文化部对《营业性演出管理条例》（国务院令第528号）的相关条款进行了调整）。</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第六条 文艺表演团体申请从事营业性演出活动，应当有与其业务相适应的专职演员和器材设备，并向县级人民政府文化主管部门提出申请；文化主管部门应当自受理申请之日起20日内作出决定。批准的，颁发营业性演出许可证；不批准的，应当书面通知申请人并说明理由。</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widowControl w:val="true"/>
              <w:pBdr/>
              <w:spacing/>
              <w:ind/>
              <w:jc w:val="left"/>
              <w:rPr>
                <w:rFonts w:ascii="仿宋" w:hAnsi="仿宋" w:eastAsia="仿宋" w:cs="宋体"/>
                <w:sz w:val="16"/>
                <w:szCs w:val="16"/>
              </w:rPr>
            </w:pPr>
            <w:r>
              <w:rPr>
                <w:rFonts w:hint="eastAsia" w:ascii="仿宋" w:hAnsi="仿宋" w:eastAsia="仿宋" w:cs="宋体"/>
                <w:sz w:val="16"/>
                <w:szCs w:val="16"/>
              </w:rPr>
              <w:t xml:space="preserve">1.受理阶段责任：公示依法应当提交的材料；一次性告知补正材料；依法受理或不予受理（不予受理应当告知理由）。 2.审查阶段责任：对申请材料进行预审、提出预审意见；对经营场所、营业设施、设备进行现场检查。 3.决定阶段责任：作出行政许可或者不予行政许可决定，法定告知（不予许可的应当书面告知理由）。 4.送达阶段责任：准予许可的制作许可证件，送达并信息公开。 5.事后监管责任：开展定期和不定期检查，根据检查情况，依法采取相关处置措施。 </w:t>
            </w:r>
            <w:r>
              <w:rPr>
                <w:rFonts w:ascii="仿宋" w:hAnsi="仿宋" w:eastAsia="仿宋" w:cs="宋体"/>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pPr>
              <w:widowControl w:val="true"/>
              <w:pBdr/>
              <w:spacing/>
              <w:ind/>
              <w:jc w:val="left"/>
              <w:rPr>
                <w:rFonts w:ascii="仿宋" w:hAnsi="仿宋" w:eastAsia="仿宋" w:cs="宋体"/>
                <w:sz w:val="16"/>
                <w:szCs w:val="16"/>
              </w:rPr>
            </w:pPr>
            <w:r>
              <w:rPr>
                <w:rFonts w:hint="eastAsia" w:ascii="仿宋" w:hAnsi="仿宋" w:eastAsia="仿宋" w:cs="宋体"/>
                <w:sz w:val="16"/>
                <w:szCs w:val="16"/>
              </w:rPr>
              <w:t xml:space="preserve">因不履行或不正确履行行政职责，有下列情形的，行政机关及相应工作人员应承担相应责任： 1.对符合法定条件的行政许可申请不予受理的； 2.对不符合法定条件的申请人准予行政许可或者超越法定职权作出准予行政许可决定的； 3.对符合法定条件的申请人不予行政许可或者不在法定期限内作出准予行政许可决定的； 4.不依法履行监管职责和监管不力，发生违法违规经营行为的； 5.违反法定程序实施行政许可的； 6.违规审批、实施监督检查，索取或者收受他人财物或者谋取其他利益； </w:t>
            </w:r>
            <w:r>
              <w:rPr>
                <w:rFonts w:ascii="仿宋" w:hAnsi="仿宋" w:eastAsia="仿宋" w:cs="宋体"/>
                <w:sz w:val="16"/>
                <w:szCs w:val="16"/>
              </w:rPr>
            </w:r>
          </w:p>
        </w:tc>
      </w:tr>
      <w:tr>
        <w:trPr>
          <w:trHeight w:val="8492"/>
        </w:trPr>
        <w:tc>
          <w:tcPr>
            <w:shd w:val="clear" w:color="auto" w:fill="auto"/>
            <w:tcBorders>
              <w:top w:val="none" w:color="000000" w:sz="4" w:space="0"/>
              <w:left w:val="single" w:color="auto" w:sz="4" w:space="0"/>
              <w:bottom w:val="single" w:color="auto" w:sz="4" w:space="0"/>
              <w:right w:val="single" w:color="auto" w:sz="4" w:space="0"/>
            </w:tcBorders>
            <w:tcW w:w="675"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7</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营业性演出审批</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left"/>
              <w:rPr>
                <w:rFonts w:ascii="仿宋" w:hAnsi="仿宋" w:eastAsia="仿宋" w:cs="宋体"/>
                <w:sz w:val="16"/>
                <w:szCs w:val="16"/>
              </w:rPr>
            </w:pPr>
            <w:r>
              <w:rPr>
                <w:rFonts w:hint="eastAsia" w:ascii="仿宋" w:hAnsi="仿宋" w:eastAsia="仿宋" w:cs="宋体"/>
                <w:sz w:val="16"/>
                <w:szCs w:val="16"/>
              </w:rPr>
              <w:t xml:space="preserve">　</w:t>
            </w:r>
            <w:r>
              <w:rPr>
                <w:rFonts w:ascii="仿宋" w:hAnsi="仿宋" w:eastAsia="仿宋" w:cs="宋体"/>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center"/>
              <w:rPr>
                <w:rFonts w:ascii="仿宋" w:hAnsi="仿宋" w:eastAsia="仿宋" w:cs="宋体"/>
                <w:sz w:val="16"/>
                <w:szCs w:val="16"/>
              </w:rPr>
            </w:pPr>
            <w:r>
              <w:rPr>
                <w:rFonts w:hint="eastAsia" w:ascii="仿宋" w:hAnsi="仿宋" w:eastAsia="仿宋" w:cs="宋体"/>
                <w:sz w:val="16"/>
                <w:szCs w:val="16"/>
              </w:rPr>
              <w:t xml:space="preserve">行政许可</w:t>
            </w:r>
            <w:r>
              <w:rPr>
                <w:rFonts w:ascii="仿宋" w:hAnsi="仿宋" w:eastAsia="仿宋" w:cs="宋体"/>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3"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天水市麦积区文体广电和旅游局</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政务服务管理股</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3685"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营业性演出管理条例》(国务院关于修改部分行政法规的决定》（国务院令第666号）已经于2016年1月13日国务院第119次常务会议通过，并于2016年3月1日公布施行。根据《国务院关于修改部分行政法规的决定》，文化部对《营业性演出管理条例》（国务院令第528号）的相关条款进行了调整)</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第十二条 文艺表演团体、个体演员可以自行举办营业性演出，也可以参加营业性组台演出。营业性组台演出应当由演出经纪机构举办；但是，演出场所经营单位可以在本单位经营的场所内举办营业性组台演出。演出经纪机构可以从事营业性演出的居间、代理、行纪活动；个体演出经纪人只能从事营业性演出的居间、代理活动。</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第十三条 举办营业性演出，应当向演出所在地县级人民政府文化主管部门提出申请。县级人民政府文化主管部门应当自受理申请之日起3日内作出决定。对符合本条例第二十五条规定的，发给批准文件；对不符合本条例第二十五条规定的，不予批准，书面通知申请人并说明理由。</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widowControl w:val="true"/>
              <w:pBdr/>
              <w:spacing/>
              <w:ind/>
              <w:jc w:val="left"/>
              <w:rPr>
                <w:rFonts w:ascii="仿宋" w:hAnsi="仿宋" w:eastAsia="仿宋" w:cs="宋体"/>
                <w:sz w:val="16"/>
                <w:szCs w:val="16"/>
              </w:rPr>
            </w:pPr>
            <w:r>
              <w:rPr>
                <w:rFonts w:hint="eastAsia" w:ascii="仿宋" w:hAnsi="仿宋" w:eastAsia="仿宋" w:cs="宋体"/>
                <w:sz w:val="16"/>
                <w:szCs w:val="16"/>
              </w:rPr>
              <w:t xml:space="preserve">1.受理阶段责任：公示依法应当提交的材料；一次性告知补正材料；依法受理或不予受理（不予受理应当告知理由）。 2.审查阶段责任：对申请材料进行预审、提出预审意见；对经营场所、营业设施、设备进行现场检查。 3.决定阶段责任：作出行政许可或者不予行政许可决定，法定告知（不予许可的应当书面告知理由）。 4.送达阶段责任：准予许可的制作许可证件，送达并信息公开。 5.事后监管责任：开展定期和不定期检查，根据检查情况，依法采取相关处置措施。</w:t>
            </w:r>
            <w:r>
              <w:rPr>
                <w:rFonts w:ascii="仿宋" w:hAnsi="仿宋" w:eastAsia="仿宋" w:cs="宋体"/>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pPr>
              <w:widowControl w:val="true"/>
              <w:pBdr/>
              <w:spacing/>
              <w:ind/>
              <w:jc w:val="left"/>
              <w:rPr>
                <w:rFonts w:ascii="仿宋" w:hAnsi="仿宋" w:eastAsia="仿宋" w:cs="宋体"/>
                <w:sz w:val="16"/>
                <w:szCs w:val="16"/>
              </w:rPr>
            </w:pPr>
            <w:r>
              <w:rPr>
                <w:rFonts w:hint="eastAsia" w:ascii="仿宋" w:hAnsi="仿宋" w:eastAsia="仿宋" w:cs="宋体"/>
                <w:sz w:val="16"/>
                <w:szCs w:val="16"/>
              </w:rPr>
              <w:t xml:space="preserve">因不履行或不正确履行行政职责，有下列情形的，行政机关及相应工作人员应承担相应责任： 1.对符合法定条件的行政许可申请不予受理的； 2.对不符合法定条件的申请人准予行政许可或者超越法定职权作出准予行政许可决定的； 3.对符合法定条件的申请人不予行政许可或者不在法定期限内作出准予行政许可决定的； 4.不依法履行监管职责和监管不力，发生违法违规经营行为的； 5.违反法定程序实施行政许可的； 6.违规审批、实施监督检查，索取或者收受他人财物或者谋取其他利益； </w:t>
            </w:r>
            <w:r>
              <w:rPr>
                <w:rFonts w:ascii="仿宋" w:hAnsi="仿宋" w:eastAsia="仿宋" w:cs="宋体"/>
                <w:sz w:val="16"/>
                <w:szCs w:val="16"/>
              </w:rPr>
            </w:r>
          </w:p>
        </w:tc>
      </w:tr>
      <w:tr>
        <w:trPr>
          <w:trHeight w:val="8179"/>
        </w:trPr>
        <w:tc>
          <w:tcPr>
            <w:shd w:val="clear" w:color="auto" w:fill="auto"/>
            <w:tcBorders>
              <w:top w:val="none" w:color="000000" w:sz="4" w:space="0"/>
              <w:left w:val="single" w:color="auto" w:sz="4" w:space="0"/>
              <w:bottom w:val="single" w:color="auto" w:sz="4" w:space="0"/>
              <w:right w:val="single" w:color="auto" w:sz="4" w:space="0"/>
            </w:tcBorders>
            <w:tcW w:w="675"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8</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娱乐场所经营活动审批</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left"/>
              <w:rPr>
                <w:rFonts w:ascii="仿宋" w:hAnsi="仿宋" w:eastAsia="仿宋" w:cs="宋体"/>
                <w:sz w:val="16"/>
                <w:szCs w:val="16"/>
              </w:rPr>
            </w:pPr>
            <w:r>
              <w:rPr>
                <w:rFonts w:hint="eastAsia" w:ascii="仿宋" w:hAnsi="仿宋" w:eastAsia="仿宋" w:cs="宋体"/>
                <w:sz w:val="16"/>
                <w:szCs w:val="16"/>
              </w:rPr>
              <w:t xml:space="preserve">　</w:t>
            </w:r>
            <w:r>
              <w:rPr>
                <w:rFonts w:ascii="仿宋" w:hAnsi="仿宋" w:eastAsia="仿宋" w:cs="宋体"/>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center"/>
              <w:rPr>
                <w:rFonts w:ascii="仿宋" w:hAnsi="仿宋" w:eastAsia="仿宋" w:cs="宋体"/>
                <w:sz w:val="16"/>
                <w:szCs w:val="16"/>
              </w:rPr>
            </w:pPr>
            <w:r>
              <w:rPr>
                <w:rFonts w:hint="eastAsia" w:ascii="仿宋" w:hAnsi="仿宋" w:eastAsia="仿宋" w:cs="宋体"/>
                <w:sz w:val="16"/>
                <w:szCs w:val="16"/>
              </w:rPr>
              <w:t xml:space="preserve">行政许可</w:t>
            </w:r>
            <w:r>
              <w:rPr>
                <w:rFonts w:ascii="仿宋" w:hAnsi="仿宋" w:eastAsia="仿宋" w:cs="宋体"/>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3"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天水市麦积区文体广电和旅游局</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政务服务管理股</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3685"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娱乐场所管理条例》（《国务院关于修改部分行政法规的决定》（国务院令第666号）已经2016年1月13日国务院第119次常务会议通过，并于2016年3月1日公布施行。根据《国务院关于修改部分行政法规的决定》，文化部对《娱乐场所管理条例》（国务院令第458号）的相关条款进行了调整）</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第二条　本条例所称娱乐场所，是指以营利为目的，并向公众开放、消费者自娱自乐的歌舞、游艺等场所。</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第九条　娱乐场所申请从事娱乐场所经营活动，应当向所在地县级人民政府文化主管部门提出申请;</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娱乐场所申请从事娱乐场所经营活动，应当提交投资人员、拟任的法定代表人和其他负责人没有本条例第五条规定情形的书面声明。申请人应当对书面声明内容的真实性负责。</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受理申请的文化主管部门应当就书面声明向公安部门或者其他有关单位核查，公安部门或者其他有关单位应当予以配合；经核查属实的，文化主管部门应当依据本条例第七条、第八条的规定进行实地检查，作出决定。予以批准的，颁发娱乐经营许可证，并根据国务院文化主管部门的规定核定娱乐场所容纳的消费者数量；不予批准的，应当书面通知申请人并说明理由。</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有关法律、行政法规规定需要办理消防、卫生、环境保护等审批手续的，从其规定。</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widowControl w:val="true"/>
              <w:pBdr/>
              <w:spacing/>
              <w:ind/>
              <w:jc w:val="left"/>
              <w:rPr>
                <w:rFonts w:ascii="仿宋" w:hAnsi="仿宋" w:eastAsia="仿宋" w:cs="宋体"/>
                <w:sz w:val="16"/>
                <w:szCs w:val="16"/>
              </w:rPr>
            </w:pPr>
            <w:r>
              <w:rPr>
                <w:rFonts w:hint="eastAsia" w:ascii="仿宋" w:hAnsi="仿宋" w:eastAsia="仿宋" w:cs="宋体"/>
                <w:sz w:val="16"/>
                <w:szCs w:val="16"/>
              </w:rPr>
              <w:t xml:space="preserve">1.受理阶段责任：公示依法应当提交的材料；一次性告知补正材料；依法受理或不予受理（不予受理应当告知理由）。 2.审查阶段责任：对申请材料进行预审、提出预审意见；对经营场所、营业设施、设备进行现场检查。 3.决定阶段责任：作出行政许可或者不予行政许可决定，法定告知（不予许可的应当书面告知理由）。 4.送达阶段责任：准予许可的制作许可证件，送达并信息公开。 5.事后监管责任：开展定期和不定期检查，根据检查情况，依法采取相关处置措施。 </w:t>
            </w:r>
            <w:r>
              <w:rPr>
                <w:rFonts w:ascii="仿宋" w:hAnsi="仿宋" w:eastAsia="仿宋" w:cs="宋体"/>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pPr>
              <w:widowControl w:val="true"/>
              <w:pBdr/>
              <w:spacing/>
              <w:ind/>
              <w:jc w:val="left"/>
              <w:rPr>
                <w:rFonts w:ascii="仿宋" w:hAnsi="仿宋" w:eastAsia="仿宋" w:cs="宋体"/>
                <w:sz w:val="16"/>
                <w:szCs w:val="16"/>
              </w:rPr>
            </w:pPr>
            <w:r>
              <w:rPr>
                <w:rFonts w:hint="eastAsia" w:ascii="仿宋" w:hAnsi="仿宋" w:eastAsia="仿宋" w:cs="宋体"/>
                <w:sz w:val="16"/>
                <w:szCs w:val="16"/>
              </w:rPr>
              <w:t xml:space="preserve">因不履行或不正确履行行政职责，有下列情形的，行政机关及相应工作人员应承担相应责任： 1.对符合法定条件的行政许可申请不予受理的； 2.对不符合法定条件的申请人准予行政许可或者超越法定职权作出准予行政许可决定的； 3.对符合法定条件的申请人不予行政许可或者不在法定期限内作出准予行政许可决定的； 4.不依法履行监管职责和监管不力，发生违法违规经营行为的； 5.违反法定程序实施行政许可的； 6.违规审批、实施监督检查，索取或者收受他人财物或者谋取其他利益； </w:t>
            </w:r>
            <w:r>
              <w:rPr>
                <w:rFonts w:ascii="仿宋" w:hAnsi="仿宋" w:eastAsia="仿宋" w:cs="宋体"/>
                <w:sz w:val="16"/>
                <w:szCs w:val="16"/>
              </w:rPr>
            </w:r>
          </w:p>
        </w:tc>
      </w:tr>
      <w:tr>
        <w:trPr>
          <w:trHeight w:val="8492"/>
        </w:trPr>
        <w:tc>
          <w:tcPr>
            <w:shd w:val="clear" w:color="auto" w:fill="auto"/>
            <w:tcBorders>
              <w:top w:val="none" w:color="000000" w:sz="4" w:space="0"/>
              <w:left w:val="single" w:color="auto" w:sz="4" w:space="0"/>
              <w:bottom w:val="single" w:color="auto" w:sz="4" w:space="0"/>
              <w:right w:val="single" w:color="auto" w:sz="4" w:space="0"/>
            </w:tcBorders>
            <w:tcW w:w="675"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9</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临时占用公共体育场设施审批</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left"/>
              <w:rPr>
                <w:rFonts w:ascii="仿宋" w:hAnsi="仿宋" w:eastAsia="仿宋" w:cs="宋体"/>
                <w:sz w:val="16"/>
                <w:szCs w:val="16"/>
              </w:rPr>
            </w:pPr>
            <w:r>
              <w:rPr>
                <w:rFonts w:hint="eastAsia" w:ascii="仿宋" w:hAnsi="仿宋" w:eastAsia="仿宋" w:cs="宋体"/>
                <w:sz w:val="16"/>
                <w:szCs w:val="16"/>
              </w:rPr>
              <w:t xml:space="preserve">　</w:t>
            </w:r>
            <w:r>
              <w:rPr>
                <w:rFonts w:ascii="仿宋" w:hAnsi="仿宋" w:eastAsia="仿宋" w:cs="宋体"/>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center"/>
              <w:rPr>
                <w:rFonts w:ascii="仿宋" w:hAnsi="仿宋" w:eastAsia="仿宋" w:cs="宋体"/>
                <w:sz w:val="16"/>
                <w:szCs w:val="16"/>
              </w:rPr>
            </w:pPr>
            <w:r>
              <w:rPr>
                <w:rFonts w:hint="eastAsia" w:ascii="仿宋" w:hAnsi="仿宋" w:eastAsia="仿宋" w:cs="宋体"/>
                <w:sz w:val="16"/>
                <w:szCs w:val="16"/>
              </w:rPr>
              <w:t xml:space="preserve">行政许可</w:t>
            </w:r>
            <w:r>
              <w:rPr>
                <w:rFonts w:ascii="仿宋" w:hAnsi="仿宋" w:eastAsia="仿宋" w:cs="宋体"/>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3"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天水市麦积区文体广电和旅游局</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政务服务管理股</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3685"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  《中华人民共和国体育法》（1995年8月29日中华人民共和国主席令第55号公布 2022年6月24日修订）...</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widowControl w:val="true"/>
              <w:pBdr/>
              <w:spacing/>
              <w:ind/>
              <w:jc w:val="left"/>
              <w:rPr>
                <w:rFonts w:ascii="仿宋" w:hAnsi="仿宋" w:eastAsia="仿宋" w:cs="宋体"/>
                <w:sz w:val="16"/>
                <w:szCs w:val="16"/>
              </w:rPr>
            </w:pPr>
            <w:r>
              <w:rPr>
                <w:rFonts w:hint="eastAsia" w:ascii="仿宋" w:hAnsi="仿宋" w:eastAsia="仿宋" w:cs="宋体"/>
                <w:sz w:val="16"/>
                <w:szCs w:val="16"/>
              </w:rPr>
              <w:t xml:space="preserve">1.受理阶段责任：公示依法应当提交的材料；一次性告知补正材料；依法受理或不受理（不予受理应告知理由）；</w:t>
            </w:r>
            <w:r>
              <w:rPr>
                <w:rFonts w:hint="eastAsia" w:ascii="仿宋" w:hAnsi="仿宋" w:eastAsia="仿宋" w:cs="宋体"/>
                <w:sz w:val="16"/>
                <w:szCs w:val="16"/>
              </w:rPr>
              <w:br/>
            </w:r>
            <w:r>
              <w:rPr>
                <w:rFonts w:hint="eastAsia" w:ascii="仿宋" w:hAnsi="仿宋" w:eastAsia="仿宋" w:cs="宋体"/>
                <w:sz w:val="16"/>
                <w:szCs w:val="16"/>
              </w:rPr>
              <w:t xml:space="preserve">2.审查阶段责任：对申请材料进行预审、提出预审意见；对申请人（组织和个人）进行实地考察并查验有关证明材料原件，听取申请人陈述；</w:t>
            </w:r>
            <w:r>
              <w:rPr>
                <w:rFonts w:hint="eastAsia" w:ascii="仿宋" w:hAnsi="仿宋" w:eastAsia="仿宋" w:cs="宋体"/>
                <w:sz w:val="16"/>
                <w:szCs w:val="16"/>
              </w:rPr>
              <w:br/>
            </w:r>
            <w:r>
              <w:rPr>
                <w:rFonts w:hint="eastAsia" w:ascii="仿宋" w:hAnsi="仿宋" w:eastAsia="仿宋" w:cs="宋体"/>
                <w:sz w:val="16"/>
                <w:szCs w:val="16"/>
              </w:rPr>
              <w:t xml:space="preserve">3.决定阶段责任：做出行政许可或不许可决定法定告知（不予许可的应当书面告知）；</w:t>
            </w:r>
            <w:r>
              <w:rPr>
                <w:rFonts w:hint="eastAsia" w:ascii="仿宋" w:hAnsi="仿宋" w:eastAsia="仿宋" w:cs="宋体"/>
                <w:sz w:val="16"/>
                <w:szCs w:val="16"/>
              </w:rPr>
              <w:br/>
            </w:r>
            <w:r>
              <w:rPr>
                <w:rFonts w:hint="eastAsia" w:ascii="仿宋" w:hAnsi="仿宋" w:eastAsia="仿宋" w:cs="宋体"/>
                <w:sz w:val="16"/>
                <w:szCs w:val="16"/>
              </w:rPr>
              <w:t xml:space="preserve">4.送达阶段责任：准予许可的制作许可证件，送达并信息公开；</w:t>
            </w:r>
            <w:r>
              <w:rPr>
                <w:rFonts w:hint="eastAsia" w:ascii="仿宋" w:hAnsi="仿宋" w:eastAsia="仿宋" w:cs="宋体"/>
                <w:sz w:val="16"/>
                <w:szCs w:val="16"/>
              </w:rPr>
              <w:br/>
            </w:r>
            <w:r>
              <w:rPr>
                <w:rFonts w:hint="eastAsia" w:ascii="仿宋" w:hAnsi="仿宋" w:eastAsia="仿宋" w:cs="宋体"/>
                <w:sz w:val="16"/>
                <w:szCs w:val="16"/>
              </w:rPr>
              <w:t xml:space="preserve">5.事后监管责任：开展定期或不定期检查，根据检查情况，依法采取相关处置措施；</w:t>
            </w:r>
            <w:r>
              <w:rPr>
                <w:rFonts w:ascii="仿宋" w:hAnsi="仿宋" w:eastAsia="仿宋" w:cs="宋体"/>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pPr>
              <w:widowControl w:val="true"/>
              <w:pBdr/>
              <w:spacing/>
              <w:ind/>
              <w:jc w:val="left"/>
              <w:rPr>
                <w:rFonts w:ascii="仿宋" w:hAnsi="仿宋" w:eastAsia="仿宋" w:cs="宋体"/>
                <w:sz w:val="16"/>
                <w:szCs w:val="16"/>
              </w:rPr>
            </w:pPr>
            <w:r>
              <w:rPr>
                <w:rFonts w:hint="eastAsia" w:ascii="仿宋" w:hAnsi="仿宋" w:eastAsia="仿宋" w:cs="宋体"/>
                <w:sz w:val="16"/>
                <w:szCs w:val="16"/>
              </w:rPr>
              <w:t xml:space="preserve">“因不履行或不正确履行行政职责，有下列情形的，行政机关及相关工作人员应承担相应责任： </w:t>
            </w:r>
            <w:r>
              <w:rPr>
                <w:rFonts w:hint="eastAsia" w:ascii="仿宋" w:hAnsi="仿宋" w:eastAsia="仿宋" w:cs="宋体"/>
                <w:sz w:val="16"/>
                <w:szCs w:val="16"/>
              </w:rPr>
              <w:br/>
            </w:r>
            <w:r>
              <w:rPr>
                <w:rFonts w:hint="eastAsia" w:ascii="仿宋" w:hAnsi="仿宋" w:eastAsia="仿宋" w:cs="宋体"/>
                <w:sz w:val="16"/>
                <w:szCs w:val="16"/>
              </w:rPr>
              <w:t xml:space="preserve">1.对符合法定条件的行政许可申请不予受理的；</w:t>
            </w:r>
            <w:r>
              <w:rPr>
                <w:rFonts w:hint="eastAsia" w:ascii="仿宋" w:hAnsi="仿宋" w:eastAsia="仿宋" w:cs="宋体"/>
                <w:sz w:val="16"/>
                <w:szCs w:val="16"/>
              </w:rPr>
              <w:br/>
            </w:r>
            <w:r>
              <w:rPr>
                <w:rFonts w:hint="eastAsia" w:ascii="仿宋" w:hAnsi="仿宋" w:eastAsia="仿宋" w:cs="宋体"/>
                <w:sz w:val="16"/>
                <w:szCs w:val="16"/>
              </w:rPr>
              <w:t xml:space="preserve">2.对不符合法定条件的申请单位准予行政许可的或者超越法定职权做出准予行政许可决定的；</w:t>
            </w:r>
            <w:r>
              <w:rPr>
                <w:rFonts w:hint="eastAsia" w:ascii="仿宋" w:hAnsi="仿宋" w:eastAsia="仿宋" w:cs="宋体"/>
                <w:sz w:val="16"/>
                <w:szCs w:val="16"/>
              </w:rPr>
              <w:br/>
            </w:r>
            <w:r>
              <w:rPr>
                <w:rFonts w:hint="eastAsia" w:ascii="仿宋" w:hAnsi="仿宋" w:eastAsia="仿宋" w:cs="宋体"/>
                <w:sz w:val="16"/>
                <w:szCs w:val="16"/>
              </w:rPr>
              <w:t xml:space="preserve">3.对符合法定条件的申请单位不予行政许可或不在法定期限内做出准予行政许可决定的；</w:t>
            </w:r>
            <w:r>
              <w:rPr>
                <w:rFonts w:hint="eastAsia" w:ascii="仿宋" w:hAnsi="仿宋" w:eastAsia="仿宋" w:cs="宋体"/>
                <w:sz w:val="16"/>
                <w:szCs w:val="16"/>
              </w:rPr>
              <w:br/>
            </w:r>
            <w:r>
              <w:rPr>
                <w:rFonts w:hint="eastAsia" w:ascii="仿宋" w:hAnsi="仿宋" w:eastAsia="仿宋" w:cs="宋体"/>
                <w:sz w:val="16"/>
                <w:szCs w:val="16"/>
              </w:rPr>
              <w:t xml:space="preserve">4.不依法履行监督职责或者监督不力，导致出现问题的；</w:t>
            </w:r>
            <w:r>
              <w:rPr>
                <w:rFonts w:hint="eastAsia" w:ascii="仿宋" w:hAnsi="仿宋" w:eastAsia="仿宋" w:cs="宋体"/>
                <w:sz w:val="16"/>
                <w:szCs w:val="16"/>
              </w:rPr>
              <w:br/>
            </w:r>
            <w:r>
              <w:rPr>
                <w:rFonts w:hint="eastAsia" w:ascii="仿宋" w:hAnsi="仿宋" w:eastAsia="仿宋" w:cs="宋体"/>
                <w:sz w:val="16"/>
                <w:szCs w:val="16"/>
              </w:rPr>
              <w:t xml:space="preserve"> 5.违反法定程序实施行政许可的；</w:t>
            </w:r>
            <w:r>
              <w:rPr>
                <w:rFonts w:ascii="仿宋" w:hAnsi="仿宋" w:eastAsia="仿宋" w:cs="宋体"/>
                <w:sz w:val="16"/>
                <w:szCs w:val="16"/>
              </w:rPr>
            </w:r>
          </w:p>
        </w:tc>
      </w:tr>
      <w:tr>
        <w:trPr>
          <w:trHeight w:val="8208"/>
        </w:trPr>
        <w:tc>
          <w:tcPr>
            <w:shd w:val="clear" w:color="auto" w:fill="auto"/>
            <w:tcBorders>
              <w:top w:val="none" w:color="000000" w:sz="4" w:space="0"/>
              <w:left w:val="single" w:color="auto" w:sz="4" w:space="0"/>
              <w:bottom w:val="single" w:color="auto" w:sz="4" w:space="0"/>
              <w:right w:val="single" w:color="auto" w:sz="4" w:space="0"/>
            </w:tcBorders>
            <w:tcW w:w="675" w:type="dxa"/>
            <w:vAlign w:val="center"/>
            <w:vMerge w:val="restart"/>
            <w:textDirection w:val="lrTb"/>
            <w:noWrap/>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10</w:t>
            </w:r>
            <w:r>
              <w:rPr>
                <w:rFonts w:ascii="仿宋" w:hAnsi="仿宋" w:eastAsia="仿宋" w:cs="宋体"/>
                <w:color w:val="000000"/>
                <w:sz w:val="16"/>
                <w:szCs w:val="16"/>
              </w:rPr>
            </w:r>
          </w:p>
        </w:tc>
        <w:tc>
          <w:tcPr>
            <w:shd w:val="clear" w:color="auto" w:fill="auto"/>
            <w:tcBorders>
              <w:top w:val="none" w:color="000000" w:sz="4" w:space="0"/>
              <w:left w:val="single" w:color="auto" w:sz="4" w:space="0"/>
              <w:bottom w:val="single" w:color="auto" w:sz="4" w:space="0"/>
              <w:right w:val="single" w:color="auto" w:sz="4" w:space="0"/>
            </w:tcBorders>
            <w:tcW w:w="1418" w:type="dxa"/>
            <w:vAlign w:val="center"/>
            <w:vMerge w:val="restart"/>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举办健身气功活动及设立站点审批</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left"/>
              <w:rPr>
                <w:rFonts w:ascii="仿宋" w:hAnsi="仿宋" w:eastAsia="仿宋" w:cs="宋体"/>
                <w:sz w:val="16"/>
                <w:szCs w:val="16"/>
              </w:rPr>
            </w:pPr>
            <w:r>
              <w:rPr>
                <w:rFonts w:hint="eastAsia" w:ascii="仿宋" w:hAnsi="仿宋" w:eastAsia="仿宋" w:cs="宋体"/>
                <w:sz w:val="16"/>
                <w:szCs w:val="16"/>
              </w:rPr>
              <w:t xml:space="preserve">举办健身气功活动</w:t>
            </w:r>
            <w:r>
              <w:rPr>
                <w:rFonts w:ascii="仿宋" w:hAnsi="仿宋" w:eastAsia="仿宋" w:cs="宋体"/>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center"/>
              <w:rPr>
                <w:rFonts w:ascii="仿宋" w:hAnsi="仿宋" w:eastAsia="仿宋" w:cs="宋体"/>
                <w:sz w:val="16"/>
                <w:szCs w:val="16"/>
              </w:rPr>
            </w:pPr>
            <w:r>
              <w:rPr>
                <w:rFonts w:hint="eastAsia" w:ascii="仿宋" w:hAnsi="仿宋" w:eastAsia="仿宋" w:cs="宋体"/>
                <w:sz w:val="16"/>
                <w:szCs w:val="16"/>
              </w:rPr>
              <w:t xml:space="preserve">行政许可</w:t>
            </w:r>
            <w:r>
              <w:rPr>
                <w:rFonts w:ascii="仿宋" w:hAnsi="仿宋" w:eastAsia="仿宋" w:cs="宋体"/>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3"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天水市麦积区文体广电和旅游局</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政务服务管理股</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3685"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《国务院对确需保留的行政审批项目设定行政许可的决定》（2004年7月国务院令第412号）附件第336项：“举办健身气功活动及设立站点审批。”实施机关：县级以上人民政府体育行政主管部门。</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国务院关于第五批取消和下放管理层级行政审批项目的决定》（国发〔2010〕21号）附件2国务院决定下放管理层级的行政审批项目目录，第62项：“设立健身气功活动站点审批”。下放管理实施机关：县级人民政府体育行政主管部门。</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widowControl w:val="true"/>
              <w:pBdr/>
              <w:spacing/>
              <w:ind/>
              <w:jc w:val="left"/>
              <w:rPr>
                <w:rFonts w:ascii="仿宋" w:hAnsi="仿宋" w:eastAsia="仿宋" w:cs="宋体"/>
                <w:sz w:val="16"/>
                <w:szCs w:val="16"/>
              </w:rPr>
            </w:pPr>
            <w:r>
              <w:rPr>
                <w:rFonts w:hint="eastAsia" w:ascii="仿宋" w:hAnsi="仿宋" w:eastAsia="仿宋" w:cs="宋体"/>
                <w:sz w:val="16"/>
                <w:szCs w:val="16"/>
              </w:rPr>
              <w:t xml:space="preserve">1.受理阶段责任：公示依法应当提交的材料；一次性告知补正材料；依法受理或不受理（不予受理应告知理由）；</w:t>
            </w:r>
            <w:r>
              <w:rPr>
                <w:rFonts w:hint="eastAsia" w:ascii="仿宋" w:hAnsi="仿宋" w:eastAsia="仿宋" w:cs="宋体"/>
                <w:sz w:val="16"/>
                <w:szCs w:val="16"/>
              </w:rPr>
              <w:br/>
            </w:r>
            <w:r>
              <w:rPr>
                <w:rFonts w:hint="eastAsia" w:ascii="仿宋" w:hAnsi="仿宋" w:eastAsia="仿宋" w:cs="宋体"/>
                <w:sz w:val="16"/>
                <w:szCs w:val="16"/>
              </w:rPr>
              <w:t xml:space="preserve">2.审查阶段责任：对申请材料进行预审、提出预审意见；对申请人（组织和个人）进行实地考察并查验有关证明材料原件，听取申请人陈述；</w:t>
            </w:r>
            <w:r>
              <w:rPr>
                <w:rFonts w:hint="eastAsia" w:ascii="仿宋" w:hAnsi="仿宋" w:eastAsia="仿宋" w:cs="宋体"/>
                <w:sz w:val="16"/>
                <w:szCs w:val="16"/>
              </w:rPr>
              <w:br/>
            </w:r>
            <w:r>
              <w:rPr>
                <w:rFonts w:hint="eastAsia" w:ascii="仿宋" w:hAnsi="仿宋" w:eastAsia="仿宋" w:cs="宋体"/>
                <w:sz w:val="16"/>
                <w:szCs w:val="16"/>
              </w:rPr>
              <w:t xml:space="preserve">3.决定阶段责任：做出行政许可或不许可决定法定告知（不予许可的应当书面告知）；</w:t>
            </w:r>
            <w:r>
              <w:rPr>
                <w:rFonts w:hint="eastAsia" w:ascii="仿宋" w:hAnsi="仿宋" w:eastAsia="仿宋" w:cs="宋体"/>
                <w:sz w:val="16"/>
                <w:szCs w:val="16"/>
              </w:rPr>
              <w:br/>
            </w:r>
            <w:r>
              <w:rPr>
                <w:rFonts w:hint="eastAsia" w:ascii="仿宋" w:hAnsi="仿宋" w:eastAsia="仿宋" w:cs="宋体"/>
                <w:sz w:val="16"/>
                <w:szCs w:val="16"/>
              </w:rPr>
              <w:t xml:space="preserve">4.送达阶段责任：准予许可的制作许可证件，送达并信息公开；</w:t>
            </w:r>
            <w:r>
              <w:rPr>
                <w:rFonts w:hint="eastAsia" w:ascii="仿宋" w:hAnsi="仿宋" w:eastAsia="仿宋" w:cs="宋体"/>
                <w:sz w:val="16"/>
                <w:szCs w:val="16"/>
              </w:rPr>
              <w:br/>
            </w:r>
            <w:r>
              <w:rPr>
                <w:rFonts w:hint="eastAsia" w:ascii="仿宋" w:hAnsi="仿宋" w:eastAsia="仿宋" w:cs="宋体"/>
                <w:sz w:val="16"/>
                <w:szCs w:val="16"/>
              </w:rPr>
              <w:t xml:space="preserve">5.事后监管责任：开展定期或不定期检查，根据检查情况，依法采取相关处置措施；</w:t>
            </w:r>
            <w:r>
              <w:rPr>
                <w:rFonts w:ascii="仿宋" w:hAnsi="仿宋" w:eastAsia="仿宋" w:cs="宋体"/>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pPr>
              <w:widowControl w:val="true"/>
              <w:pBdr/>
              <w:spacing w:after="240"/>
              <w:ind/>
              <w:jc w:val="left"/>
              <w:rPr>
                <w:rFonts w:ascii="仿宋" w:hAnsi="仿宋" w:eastAsia="仿宋" w:cs="宋体"/>
                <w:sz w:val="16"/>
                <w:szCs w:val="16"/>
              </w:rPr>
            </w:pPr>
            <w:r>
              <w:rPr>
                <w:rFonts w:hint="eastAsia" w:ascii="仿宋" w:hAnsi="仿宋" w:eastAsia="仿宋" w:cs="宋体"/>
                <w:sz w:val="16"/>
                <w:szCs w:val="16"/>
              </w:rPr>
              <w:t xml:space="preserve">"因不履行或不正确履行行政职责，有下列情形的，行政机关及相关工作人员应承担相应责任： </w:t>
            </w:r>
            <w:r>
              <w:rPr>
                <w:rFonts w:hint="eastAsia" w:ascii="仿宋" w:hAnsi="仿宋" w:eastAsia="仿宋" w:cs="宋体"/>
                <w:sz w:val="16"/>
                <w:szCs w:val="16"/>
              </w:rPr>
              <w:br/>
            </w:r>
            <w:r>
              <w:rPr>
                <w:rFonts w:hint="eastAsia" w:ascii="仿宋" w:hAnsi="仿宋" w:eastAsia="仿宋" w:cs="宋体"/>
                <w:sz w:val="16"/>
                <w:szCs w:val="16"/>
              </w:rPr>
              <w:t xml:space="preserve">1.对符合法定条件的行政许可申请不予受理的；</w:t>
            </w:r>
            <w:r>
              <w:rPr>
                <w:rFonts w:hint="eastAsia" w:ascii="仿宋" w:hAnsi="仿宋" w:eastAsia="仿宋" w:cs="宋体"/>
                <w:sz w:val="16"/>
                <w:szCs w:val="16"/>
              </w:rPr>
              <w:br/>
            </w:r>
            <w:r>
              <w:rPr>
                <w:rFonts w:hint="eastAsia" w:ascii="仿宋" w:hAnsi="仿宋" w:eastAsia="仿宋" w:cs="宋体"/>
                <w:sz w:val="16"/>
                <w:szCs w:val="16"/>
              </w:rPr>
              <w:t xml:space="preserve">2.对不符合法定条件的申请单位准予行政许可的或者超越法定职权做出准予行政许可决定的；</w:t>
            </w:r>
            <w:r>
              <w:rPr>
                <w:rFonts w:hint="eastAsia" w:ascii="仿宋" w:hAnsi="仿宋" w:eastAsia="仿宋" w:cs="宋体"/>
                <w:sz w:val="16"/>
                <w:szCs w:val="16"/>
              </w:rPr>
              <w:br/>
            </w:r>
            <w:r>
              <w:rPr>
                <w:rFonts w:hint="eastAsia" w:ascii="仿宋" w:hAnsi="仿宋" w:eastAsia="仿宋" w:cs="宋体"/>
                <w:sz w:val="16"/>
                <w:szCs w:val="16"/>
              </w:rPr>
              <w:t xml:space="preserve">3.对符合法定条件的申请单位不予行政许可或不在法定期限内做出准予行政许可决定的；</w:t>
            </w:r>
            <w:r>
              <w:rPr>
                <w:rFonts w:hint="eastAsia" w:ascii="仿宋" w:hAnsi="仿宋" w:eastAsia="仿宋" w:cs="宋体"/>
                <w:sz w:val="16"/>
                <w:szCs w:val="16"/>
              </w:rPr>
              <w:br/>
            </w:r>
            <w:r>
              <w:rPr>
                <w:rFonts w:hint="eastAsia" w:ascii="仿宋" w:hAnsi="仿宋" w:eastAsia="仿宋" w:cs="宋体"/>
                <w:sz w:val="16"/>
                <w:szCs w:val="16"/>
              </w:rPr>
              <w:t xml:space="preserve">4.不依法履行监督职责或者监督不力，导致出现问题的；</w:t>
            </w:r>
            <w:r>
              <w:rPr>
                <w:rFonts w:hint="eastAsia" w:ascii="仿宋" w:hAnsi="仿宋" w:eastAsia="仿宋" w:cs="宋体"/>
                <w:sz w:val="16"/>
                <w:szCs w:val="16"/>
              </w:rPr>
              <w:br/>
            </w:r>
            <w:r>
              <w:rPr>
                <w:rFonts w:hint="eastAsia" w:ascii="仿宋" w:hAnsi="仿宋" w:eastAsia="仿宋" w:cs="宋体"/>
                <w:sz w:val="16"/>
                <w:szCs w:val="16"/>
              </w:rPr>
              <w:t xml:space="preserve">5.违反法定程序实施行政许可的；</w:t>
            </w:r>
            <w:r>
              <w:rPr>
                <w:rFonts w:ascii="仿宋" w:hAnsi="仿宋" w:eastAsia="仿宋" w:cs="宋体"/>
                <w:sz w:val="16"/>
                <w:szCs w:val="16"/>
              </w:rPr>
            </w:r>
          </w:p>
        </w:tc>
      </w:tr>
      <w:tr>
        <w:trPr>
          <w:trHeight w:val="3679"/>
        </w:trPr>
        <w:tc>
          <w:tcPr>
            <w:tcBorders>
              <w:top w:val="none" w:color="000000" w:sz="4" w:space="0"/>
              <w:left w:val="single" w:color="auto" w:sz="4" w:space="0"/>
              <w:bottom w:val="single" w:color="auto" w:sz="4" w:space="0"/>
              <w:right w:val="single" w:color="auto" w:sz="4" w:space="0"/>
            </w:tcBorders>
            <w:tcW w:w="675" w:type="dxa"/>
            <w:vAlign w:val="center"/>
            <w:vMerge w:val="continue"/>
            <w:textDirection w:val="lrTb"/>
            <w:noWrap w:val="false"/>
          </w:tcPr>
          <w:p>
            <w:pPr>
              <w:widowControl w:val="true"/>
              <w:pBdr/>
              <w:spacing/>
              <w:ind/>
              <w:jc w:val="left"/>
              <w:rPr>
                <w:rFonts w:ascii="仿宋" w:hAnsi="仿宋" w:eastAsia="仿宋" w:cs="宋体"/>
                <w:color w:val="000000"/>
                <w:sz w:val="16"/>
                <w:szCs w:val="16"/>
              </w:rPr>
            </w:pPr>
            <w:r>
              <w:rPr>
                <w:rFonts w:ascii="仿宋" w:hAnsi="仿宋" w:eastAsia="仿宋" w:cs="宋体"/>
                <w:color w:val="000000"/>
                <w:sz w:val="16"/>
                <w:szCs w:val="16"/>
              </w:rPr>
            </w:r>
            <w:r>
              <w:rPr>
                <w:rFonts w:ascii="仿宋" w:hAnsi="仿宋" w:eastAsia="仿宋" w:cs="宋体"/>
                <w:color w:val="000000"/>
                <w:sz w:val="16"/>
                <w:szCs w:val="16"/>
              </w:rPr>
            </w:r>
          </w:p>
        </w:tc>
        <w:tc>
          <w:tcPr>
            <w:tcBorders>
              <w:top w:val="none" w:color="000000" w:sz="4" w:space="0"/>
              <w:left w:val="single" w:color="auto" w:sz="4" w:space="0"/>
              <w:bottom w:val="single" w:color="auto" w:sz="4" w:space="0"/>
              <w:right w:val="single" w:color="auto" w:sz="4" w:space="0"/>
            </w:tcBorders>
            <w:tcW w:w="1418" w:type="dxa"/>
            <w:vAlign w:val="center"/>
            <w:vMerge w:val="continue"/>
            <w:textDirection w:val="lrTb"/>
            <w:noWrap w:val="false"/>
          </w:tcPr>
          <w:p>
            <w:pPr>
              <w:widowControl w:val="true"/>
              <w:pBdr/>
              <w:spacing/>
              <w:ind/>
              <w:jc w:val="left"/>
              <w:rPr>
                <w:rFonts w:ascii="仿宋" w:hAnsi="仿宋" w:eastAsia="仿宋" w:cs="宋体"/>
                <w:color w:val="000000"/>
                <w:sz w:val="16"/>
                <w:szCs w:val="16"/>
              </w:rPr>
            </w:pPr>
            <w:r>
              <w:rPr>
                <w:rFonts w:ascii="仿宋" w:hAnsi="仿宋" w:eastAsia="仿宋" w:cs="宋体"/>
                <w:color w:val="000000"/>
                <w:sz w:val="16"/>
                <w:szCs w:val="16"/>
              </w:rPr>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left"/>
              <w:rPr>
                <w:rFonts w:ascii="仿宋" w:hAnsi="仿宋" w:eastAsia="仿宋" w:cs="宋体"/>
                <w:sz w:val="16"/>
                <w:szCs w:val="16"/>
              </w:rPr>
            </w:pPr>
            <w:r>
              <w:rPr>
                <w:rFonts w:hint="eastAsia" w:ascii="仿宋" w:hAnsi="仿宋" w:eastAsia="仿宋" w:cs="宋体"/>
                <w:sz w:val="16"/>
                <w:szCs w:val="16"/>
              </w:rPr>
              <w:t xml:space="preserve">设立健身气功活动站点审批</w:t>
            </w:r>
            <w:r>
              <w:rPr>
                <w:rFonts w:ascii="仿宋" w:hAnsi="仿宋" w:eastAsia="仿宋" w:cs="宋体"/>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center"/>
              <w:rPr>
                <w:rFonts w:ascii="仿宋" w:hAnsi="仿宋" w:eastAsia="仿宋" w:cs="宋体"/>
                <w:sz w:val="16"/>
                <w:szCs w:val="16"/>
              </w:rPr>
            </w:pPr>
            <w:r>
              <w:rPr>
                <w:rFonts w:hint="eastAsia" w:ascii="仿宋" w:hAnsi="仿宋" w:eastAsia="仿宋" w:cs="宋体"/>
                <w:sz w:val="16"/>
                <w:szCs w:val="16"/>
              </w:rPr>
              <w:t xml:space="preserve">行政许可</w:t>
            </w:r>
            <w:r>
              <w:rPr>
                <w:rFonts w:ascii="仿宋" w:hAnsi="仿宋" w:eastAsia="仿宋" w:cs="宋体"/>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3"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天水市麦积区文体广电和旅游局</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政务服务管理股</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3685"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国务院关于第五批取消和下放管理层级行政审批项目的决定》（国发〔2010〕21号）附件2国务院决定下放管理层级的行政审批项目目录，第62项：“设立健身气功活动站点审批”。下放管理实施机关：县级人民政府体育行政主管部门。</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widowControl w:val="true"/>
              <w:pBdr/>
              <w:spacing/>
              <w:ind/>
              <w:jc w:val="left"/>
              <w:rPr>
                <w:rFonts w:ascii="仿宋" w:hAnsi="仿宋" w:eastAsia="仿宋" w:cs="宋体"/>
                <w:sz w:val="16"/>
                <w:szCs w:val="16"/>
              </w:rPr>
            </w:pPr>
            <w:r>
              <w:rPr>
                <w:rFonts w:hint="eastAsia" w:ascii="仿宋" w:hAnsi="仿宋" w:eastAsia="仿宋" w:cs="宋体"/>
                <w:sz w:val="16"/>
                <w:szCs w:val="16"/>
              </w:rPr>
              <w:t xml:space="preserve">1.受理阶段责任：公示依法应当提交的材料；一次性告知补正材料；依法受理或不受理（不予受理应告知理由）；</w:t>
            </w:r>
            <w:r>
              <w:rPr>
                <w:rFonts w:hint="eastAsia" w:ascii="仿宋" w:hAnsi="仿宋" w:eastAsia="仿宋" w:cs="宋体"/>
                <w:sz w:val="16"/>
                <w:szCs w:val="16"/>
              </w:rPr>
              <w:br/>
            </w:r>
            <w:r>
              <w:rPr>
                <w:rFonts w:hint="eastAsia" w:ascii="仿宋" w:hAnsi="仿宋" w:eastAsia="仿宋" w:cs="宋体"/>
                <w:sz w:val="16"/>
                <w:szCs w:val="16"/>
              </w:rPr>
              <w:t xml:space="preserve">2.审查阶段责任：对申请材料进行预审、提出预审意见；对申请人（组织和个人）进行实地考察并查验有关证明材料原件，听取申请人陈述；</w:t>
            </w:r>
            <w:r>
              <w:rPr>
                <w:rFonts w:hint="eastAsia" w:ascii="仿宋" w:hAnsi="仿宋" w:eastAsia="仿宋" w:cs="宋体"/>
                <w:sz w:val="16"/>
                <w:szCs w:val="16"/>
              </w:rPr>
              <w:br/>
            </w:r>
            <w:r>
              <w:rPr>
                <w:rFonts w:hint="eastAsia" w:ascii="仿宋" w:hAnsi="仿宋" w:eastAsia="仿宋" w:cs="宋体"/>
                <w:sz w:val="16"/>
                <w:szCs w:val="16"/>
              </w:rPr>
              <w:t xml:space="preserve">3.决定阶段责任：做出行政许可或不许可决定法定告知（不予许可的应当书面告知）；</w:t>
            </w:r>
            <w:r>
              <w:rPr>
                <w:rFonts w:hint="eastAsia" w:ascii="仿宋" w:hAnsi="仿宋" w:eastAsia="仿宋" w:cs="宋体"/>
                <w:sz w:val="16"/>
                <w:szCs w:val="16"/>
              </w:rPr>
              <w:br/>
            </w:r>
            <w:r>
              <w:rPr>
                <w:rFonts w:hint="eastAsia" w:ascii="仿宋" w:hAnsi="仿宋" w:eastAsia="仿宋" w:cs="宋体"/>
                <w:sz w:val="16"/>
                <w:szCs w:val="16"/>
              </w:rPr>
              <w:t xml:space="preserve">4.送达阶段责任：准予许可的制作许可证件，送达并信息公开；</w:t>
            </w:r>
            <w:r>
              <w:rPr>
                <w:rFonts w:hint="eastAsia" w:ascii="仿宋" w:hAnsi="仿宋" w:eastAsia="仿宋" w:cs="宋体"/>
                <w:sz w:val="16"/>
                <w:szCs w:val="16"/>
              </w:rPr>
              <w:br/>
            </w:r>
            <w:r>
              <w:rPr>
                <w:rFonts w:hint="eastAsia" w:ascii="仿宋" w:hAnsi="仿宋" w:eastAsia="仿宋" w:cs="宋体"/>
                <w:sz w:val="16"/>
                <w:szCs w:val="16"/>
              </w:rPr>
              <w:t xml:space="preserve">5.事后监管责任：开展定期或不定期检查，根据检查情况，依法采取相关处置措施；</w:t>
            </w:r>
            <w:r>
              <w:rPr>
                <w:rFonts w:ascii="仿宋" w:hAnsi="仿宋" w:eastAsia="仿宋" w:cs="宋体"/>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pPr>
              <w:widowControl w:val="true"/>
              <w:pBdr/>
              <w:spacing w:after="240"/>
              <w:ind/>
              <w:jc w:val="left"/>
              <w:rPr>
                <w:rFonts w:ascii="仿宋" w:hAnsi="仿宋" w:eastAsia="仿宋" w:cs="宋体"/>
                <w:sz w:val="16"/>
                <w:szCs w:val="16"/>
              </w:rPr>
            </w:pPr>
            <w:r>
              <w:rPr>
                <w:rFonts w:hint="eastAsia" w:ascii="仿宋" w:hAnsi="仿宋" w:eastAsia="仿宋" w:cs="宋体"/>
                <w:sz w:val="16"/>
                <w:szCs w:val="16"/>
              </w:rPr>
              <w:t xml:space="preserve">"因不履行或不正确履行行政职责，有下列情形的，行政机关及相关工作人员应承担相应责任： </w:t>
            </w:r>
            <w:r>
              <w:rPr>
                <w:rFonts w:hint="eastAsia" w:ascii="仿宋" w:hAnsi="仿宋" w:eastAsia="仿宋" w:cs="宋体"/>
                <w:sz w:val="16"/>
                <w:szCs w:val="16"/>
              </w:rPr>
              <w:br/>
            </w:r>
            <w:r>
              <w:rPr>
                <w:rFonts w:hint="eastAsia" w:ascii="仿宋" w:hAnsi="仿宋" w:eastAsia="仿宋" w:cs="宋体"/>
                <w:sz w:val="16"/>
                <w:szCs w:val="16"/>
              </w:rPr>
              <w:t xml:space="preserve">1.对符合法定条件的行政许可申请不予受理的；</w:t>
            </w:r>
            <w:r>
              <w:rPr>
                <w:rFonts w:hint="eastAsia" w:ascii="仿宋" w:hAnsi="仿宋" w:eastAsia="仿宋" w:cs="宋体"/>
                <w:sz w:val="16"/>
                <w:szCs w:val="16"/>
              </w:rPr>
              <w:br/>
            </w:r>
            <w:r>
              <w:rPr>
                <w:rFonts w:hint="eastAsia" w:ascii="仿宋" w:hAnsi="仿宋" w:eastAsia="仿宋" w:cs="宋体"/>
                <w:sz w:val="16"/>
                <w:szCs w:val="16"/>
              </w:rPr>
              <w:t xml:space="preserve">2.对不符合法定条件的申请单位准予行政许可的或者超越法定职权做出准予行政许可决定的；</w:t>
            </w:r>
            <w:r>
              <w:rPr>
                <w:rFonts w:hint="eastAsia" w:ascii="仿宋" w:hAnsi="仿宋" w:eastAsia="仿宋" w:cs="宋体"/>
                <w:sz w:val="16"/>
                <w:szCs w:val="16"/>
              </w:rPr>
              <w:br/>
            </w:r>
            <w:r>
              <w:rPr>
                <w:rFonts w:hint="eastAsia" w:ascii="仿宋" w:hAnsi="仿宋" w:eastAsia="仿宋" w:cs="宋体"/>
                <w:sz w:val="16"/>
                <w:szCs w:val="16"/>
              </w:rPr>
              <w:t xml:space="preserve">3.对符合法定条件的申请单位不予行政许可或不在法定期限内做出准予行政许可决定的；</w:t>
            </w:r>
            <w:r>
              <w:rPr>
                <w:rFonts w:hint="eastAsia" w:ascii="仿宋" w:hAnsi="仿宋" w:eastAsia="仿宋" w:cs="宋体"/>
                <w:sz w:val="16"/>
                <w:szCs w:val="16"/>
              </w:rPr>
              <w:br/>
            </w:r>
            <w:r>
              <w:rPr>
                <w:rFonts w:hint="eastAsia" w:ascii="仿宋" w:hAnsi="仿宋" w:eastAsia="仿宋" w:cs="宋体"/>
                <w:sz w:val="16"/>
                <w:szCs w:val="16"/>
              </w:rPr>
              <w:t xml:space="preserve">4.不依法履行监督职责或者监督不力，导致出现问题的；</w:t>
            </w:r>
            <w:r>
              <w:rPr>
                <w:rFonts w:hint="eastAsia" w:ascii="仿宋" w:hAnsi="仿宋" w:eastAsia="仿宋" w:cs="宋体"/>
                <w:sz w:val="16"/>
                <w:szCs w:val="16"/>
              </w:rPr>
              <w:br/>
            </w:r>
            <w:r>
              <w:rPr>
                <w:rFonts w:hint="eastAsia" w:ascii="仿宋" w:hAnsi="仿宋" w:eastAsia="仿宋" w:cs="宋体"/>
                <w:sz w:val="16"/>
                <w:szCs w:val="16"/>
              </w:rPr>
              <w:t xml:space="preserve">5.违反法定程序实施行政许可的；</w:t>
            </w:r>
            <w:r>
              <w:rPr>
                <w:rFonts w:ascii="仿宋" w:hAnsi="仿宋" w:eastAsia="仿宋" w:cs="宋体"/>
                <w:sz w:val="16"/>
                <w:szCs w:val="16"/>
              </w:rPr>
            </w:r>
          </w:p>
        </w:tc>
      </w:tr>
      <w:tr>
        <w:trPr>
          <w:trHeight w:val="8208"/>
        </w:trPr>
        <w:tc>
          <w:tcPr>
            <w:shd w:val="clear" w:color="auto" w:fill="auto"/>
            <w:tcBorders>
              <w:top w:val="none" w:color="000000" w:sz="4" w:space="0"/>
              <w:left w:val="single" w:color="auto" w:sz="4" w:space="0"/>
              <w:bottom w:val="single" w:color="auto" w:sz="4" w:space="0"/>
              <w:right w:val="single" w:color="auto" w:sz="4" w:space="0"/>
            </w:tcBorders>
            <w:tcW w:w="675" w:type="dxa"/>
            <w:vAlign w:val="center"/>
            <w:textDirection w:val="lrTb"/>
            <w:noWrap/>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11</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高危险性体育项目经营许可</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　</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行政许可</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3"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天水市麦积区文体广电和旅游局</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政务服务管理股</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3685"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1、《全民健身条例》（中华人民共和国国务院令第560号 2009年8月30日颁布）第三十四条　县级以上地方人民政府体育主管部门对高危险性体育项目经营活动，应当依法履行监督检查职责。2、《甘肃省全民健身条例》（2011年5月31日甘肃省第十一届人大常委会第二十一次会议通过）第十七条 县级以上人民政府质量技术监督部门和体育行政部门应当按照各</w:t>
            </w:r>
            <w:r>
              <w:rPr>
                <w:rFonts w:hint="eastAsia" w:ascii="仿宋" w:hAnsi="仿宋" w:eastAsia="仿宋" w:cs="宋体"/>
                <w:color w:val="000000"/>
                <w:sz w:val="16"/>
                <w:szCs w:val="16"/>
              </w:rPr>
              <w:t xml:space="preserve">自职责，加强对举办游泳、攀岩、蹦极、滑雪、滑冰、射击、射箭、潜水、漂流、拉丁车、热气球、滑翔伞、动力滑翔伞等关系人身安全的体育项目和活动的监督检查。3、《经营高危险性体育项目许可管理办法》（国家体育总局令第17号 2013年2月21日公布）第十八条第二款 县级以上地方人民政府体育主管部门应当对经营者从事行政许可事项的活动实施有效监督。3、《甘肃省〈经营高危险性体育项目许可管理办法〉实施细则》（甘体政〔2018〕11号）第五条 县（市、区）体育主管部门负责本辖区内经营高危险性体育项目的行政许可和日常监督检查。</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1.受理阶段责任：公示依法应当提交的材料；一次性告知补正材料；依法受理或不受理（不予受理应告知理由）；</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2.审查阶段责任：对申请材料进行预审、提出预审意见；对申请人（组织和个人）进行实地考察并查验有关证明材料原件，听取申请人陈述；</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3.决定阶段责任：做出行政许可或不许可决定法定告知（不予许可的应当书面告知）；</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4.送达阶段责任：准予许可的制作许可证件，送达并信息公开；</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5.事后监管责任：开展定期或不定期检查，根据检查情况，依法采取相关处置措施；</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pPr>
              <w:widowControl w:val="true"/>
              <w:pBdr/>
              <w:spacing w:after="240"/>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"因不履行或不正确履行行政职责，有下列情形的，行政机关及相关工作人员应承担相应责任： 1.对符合法定条件的行政许可申请不予受理的；</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2.对不符合法定条件的申请单位准予行政许可的或者超越法定职权做出准予行政许可决定的；</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3.对符合法定条件的申请单位不予行政许可或不在法定期限内做出准予行政许可决定的；</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4.不依法履行监督职责或者监督不力，导致出现问题的； </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5.违反法定程序实施行政许可的；</w:t>
            </w:r>
            <w:r>
              <w:rPr>
                <w:rFonts w:ascii="仿宋" w:hAnsi="仿宋" w:eastAsia="仿宋" w:cs="宋体"/>
                <w:color w:val="000000"/>
                <w:sz w:val="16"/>
                <w:szCs w:val="16"/>
              </w:rPr>
            </w:r>
          </w:p>
        </w:tc>
      </w:tr>
      <w:tr>
        <w:trPr>
          <w:trHeight w:val="8350"/>
        </w:trPr>
        <w:tc>
          <w:tcPr>
            <w:shd w:val="clear" w:color="auto" w:fill="auto"/>
            <w:tcBorders>
              <w:top w:val="none" w:color="000000" w:sz="4" w:space="0"/>
              <w:left w:val="single" w:color="auto" w:sz="4" w:space="0"/>
              <w:bottom w:val="single" w:color="auto" w:sz="4" w:space="0"/>
              <w:right w:val="single" w:color="auto" w:sz="4" w:space="0"/>
            </w:tcBorders>
            <w:tcW w:w="675" w:type="dxa"/>
            <w:vAlign w:val="center"/>
            <w:textDirection w:val="lrTb"/>
            <w:noWrap/>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12</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广播电视视频点播业务审批</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　</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行政许可</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3"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天水市麦积区文体广电和旅游局</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政务服务管理股</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3685"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《广播电视视频点播业务管理办法》（2004年7月6日广电总局令第35号，2015年8月28日予以修改）第十二条第一款  申请《广播电视视频点播业务许可证（乙种）》，应向当地县级以上广播电视行政部门提出申请，并提交符合第十条规定的申报材料。经逐级审核后，报省级广播电视行政部门审批。</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1.受理阶段责任：公示依法应当提交的材料；一次性告知补正材料；依法受理或不予受理（不予受理应当告知理由）。</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2.审查阶段责任：对申请材料进行预审、提出预审意见；对经营场所、营业设施、设备进行现场检查。</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3.决定阶段责任：作出行政许可或者不予行政许可决定，法定告知（不予许可的应当书面告知理由）。</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4.送达阶段责任：准予许可的制作许可证件，送达并信息公开。</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5.事后监管责任：开展定期和不定期检查，根据检查情况，依法采取相关处置措施。</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因不履行或不正确履行行政职责，有下列情形的，行政机关及相应工作人员因承担相应责任：</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1.对符合法定条件的行政许可申请不予受理的；</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2.对不符合法定条件的申请人准予行政许可或者超越法定职权作出准予行政许可决定的；</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3.对符合法定条件的申请人不予行政许可或者不在法定期限内作出准予行政许可决定的；</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4.不依法履行监管职责和监管不力，发生违法违规经营行为的；</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5.违反法定程序实施行政许可的；</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6.违规审批、实施监督检查，索取或者收受他人财物或者谋取其他利益；</w:t>
            </w:r>
            <w:r>
              <w:rPr>
                <w:rFonts w:ascii="仿宋" w:hAnsi="仿宋" w:eastAsia="仿宋" w:cs="宋体"/>
                <w:color w:val="000000"/>
                <w:sz w:val="16"/>
                <w:szCs w:val="16"/>
              </w:rPr>
            </w:r>
          </w:p>
        </w:tc>
      </w:tr>
      <w:tr>
        <w:trPr>
          <w:trHeight w:val="8350"/>
        </w:trPr>
        <w:tc>
          <w:tcPr>
            <w:shd w:val="clear" w:color="auto" w:fill="auto"/>
            <w:tcBorders>
              <w:top w:val="none" w:color="000000" w:sz="4" w:space="0"/>
              <w:left w:val="single" w:color="auto" w:sz="4" w:space="0"/>
              <w:bottom w:val="single" w:color="auto" w:sz="4" w:space="0"/>
              <w:right w:val="single" w:color="auto" w:sz="4" w:space="0"/>
            </w:tcBorders>
            <w:tcW w:w="675"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13</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乡镇设立广播电视站和机关、部队、团体、企业事业单位设立有线广播电视站审批</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　</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行政许可</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3"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天水市麦积区文体广电和旅游局</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政务服务管理股</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3685" w:type="dxa"/>
            <w:vAlign w:val="center"/>
            <w:textDirection w:val="lrTb"/>
            <w:noWrap w:val="false"/>
          </w:tcPr>
          <w:p>
            <w:pPr>
              <w:widowControl w:val="true"/>
              <w:pBdr/>
              <w:spacing/>
              <w:ind/>
              <w:jc w:val="left"/>
              <w:rPr>
                <w:rFonts w:ascii="仿宋" w:hAnsi="仿宋" w:eastAsia="仿宋" w:cs="宋体"/>
                <w:sz w:val="16"/>
                <w:szCs w:val="16"/>
              </w:rPr>
            </w:pPr>
            <w:r>
              <w:rPr>
                <w:rFonts w:hint="eastAsia" w:ascii="仿宋" w:hAnsi="仿宋" w:eastAsia="仿宋" w:cs="宋体"/>
                <w:sz w:val="16"/>
                <w:szCs w:val="16"/>
              </w:rPr>
              <w:t xml:space="preserve">1.《广播电视管理条例》（1997年8月11日国务院令第228号，2017年3月1日予以修改）第十五条 乡、镇设立广播电视站的，由所在地县级以上人民政府广播电视行政部门负责审核，并按照国务院广播电视行政部门的有关规定审批。机关、部队、团体、企业事业单位设立有线广播电视站的，按照国务院有关规定审批。</w:t>
            </w:r>
            <w:r>
              <w:rPr>
                <w:rFonts w:hint="eastAsia" w:ascii="仿宋" w:hAnsi="仿宋" w:eastAsia="仿宋" w:cs="宋体"/>
                <w:sz w:val="16"/>
                <w:szCs w:val="16"/>
              </w:rPr>
              <w:br/>
            </w:r>
            <w:r>
              <w:rPr>
                <w:rFonts w:hint="eastAsia" w:ascii="仿宋" w:hAnsi="仿宋" w:eastAsia="仿宋" w:cs="宋体"/>
                <w:sz w:val="16"/>
                <w:szCs w:val="16"/>
              </w:rPr>
              <w:t xml:space="preserve">2.《广播电视站审批管理暂行规定》（2004年7月6日广电总局令第32号）第五条第一款 申请设立广播电视站，须由申请单位向当地县级以上广播电视行政部门提出申请，逐级审核同意后，报省级广播电视行政部门审批。</w:t>
            </w:r>
            <w:r>
              <w:rPr>
                <w:rFonts w:ascii="仿宋" w:hAnsi="仿宋" w:eastAsia="仿宋" w:cs="宋体"/>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widowControl w:val="true"/>
              <w:pBdr/>
              <w:spacing/>
              <w:ind/>
              <w:jc w:val="left"/>
              <w:rPr>
                <w:rFonts w:ascii="仿宋" w:hAnsi="仿宋" w:eastAsia="仿宋" w:cs="宋体"/>
                <w:sz w:val="16"/>
                <w:szCs w:val="16"/>
              </w:rPr>
            </w:pPr>
            <w:r>
              <w:rPr>
                <w:rFonts w:hint="eastAsia" w:ascii="仿宋" w:hAnsi="仿宋" w:eastAsia="仿宋" w:cs="宋体"/>
                <w:sz w:val="16"/>
                <w:szCs w:val="16"/>
              </w:rPr>
              <w:t xml:space="preserve">1.受理阶段责任：公示依法应当提交的材料；一次性告知补正材料；依法受理或不予受理（不予受理应当告知理由）。</w:t>
            </w:r>
            <w:r>
              <w:rPr>
                <w:rFonts w:hint="eastAsia" w:ascii="仿宋" w:hAnsi="仿宋" w:eastAsia="仿宋" w:cs="宋体"/>
                <w:sz w:val="16"/>
                <w:szCs w:val="16"/>
              </w:rPr>
              <w:br/>
            </w:r>
            <w:r>
              <w:rPr>
                <w:rFonts w:hint="eastAsia" w:ascii="仿宋" w:hAnsi="仿宋" w:eastAsia="仿宋" w:cs="宋体"/>
                <w:sz w:val="16"/>
                <w:szCs w:val="16"/>
              </w:rPr>
              <w:t xml:space="preserve">2.审查阶段责任：对申请材料进行预审、提出预审意见；对经营场所、营业设施、设备进行现场检查。</w:t>
            </w:r>
            <w:r>
              <w:rPr>
                <w:rFonts w:hint="eastAsia" w:ascii="仿宋" w:hAnsi="仿宋" w:eastAsia="仿宋" w:cs="宋体"/>
                <w:sz w:val="16"/>
                <w:szCs w:val="16"/>
              </w:rPr>
              <w:br/>
            </w:r>
            <w:r>
              <w:rPr>
                <w:rFonts w:hint="eastAsia" w:ascii="仿宋" w:hAnsi="仿宋" w:eastAsia="仿宋" w:cs="宋体"/>
                <w:sz w:val="16"/>
                <w:szCs w:val="16"/>
              </w:rPr>
              <w:t xml:space="preserve">3.决定阶段责任：作出行政许可或者不予行政许可决定，法定告知（不予许可的应当书面告知理由）。</w:t>
            </w:r>
            <w:r>
              <w:rPr>
                <w:rFonts w:hint="eastAsia" w:ascii="仿宋" w:hAnsi="仿宋" w:eastAsia="仿宋" w:cs="宋体"/>
                <w:sz w:val="16"/>
                <w:szCs w:val="16"/>
              </w:rPr>
              <w:br/>
            </w:r>
            <w:r>
              <w:rPr>
                <w:rFonts w:hint="eastAsia" w:ascii="仿宋" w:hAnsi="仿宋" w:eastAsia="仿宋" w:cs="宋体"/>
                <w:sz w:val="16"/>
                <w:szCs w:val="16"/>
              </w:rPr>
              <w:t xml:space="preserve">4.送达阶段责任：准予许可的制作许可证件，送达并信息公开。</w:t>
            </w:r>
            <w:r>
              <w:rPr>
                <w:rFonts w:hint="eastAsia" w:ascii="仿宋" w:hAnsi="仿宋" w:eastAsia="仿宋" w:cs="宋体"/>
                <w:sz w:val="16"/>
                <w:szCs w:val="16"/>
              </w:rPr>
              <w:br/>
            </w:r>
            <w:r>
              <w:rPr>
                <w:rFonts w:hint="eastAsia" w:ascii="仿宋" w:hAnsi="仿宋" w:eastAsia="仿宋" w:cs="宋体"/>
                <w:sz w:val="16"/>
                <w:szCs w:val="16"/>
              </w:rPr>
              <w:t xml:space="preserve">5.事后监管责任：开展定期和不定期检查，根据检查情况，依法采取相关处置措施。</w:t>
            </w:r>
            <w:r>
              <w:rPr>
                <w:rFonts w:ascii="仿宋" w:hAnsi="仿宋" w:eastAsia="仿宋" w:cs="宋体"/>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pPr>
              <w:widowControl w:val="true"/>
              <w:pBdr/>
              <w:spacing/>
              <w:ind/>
              <w:jc w:val="left"/>
              <w:rPr>
                <w:rFonts w:ascii="仿宋" w:hAnsi="仿宋" w:eastAsia="仿宋" w:cs="宋体"/>
                <w:sz w:val="16"/>
                <w:szCs w:val="16"/>
              </w:rPr>
            </w:pPr>
            <w:r>
              <w:rPr>
                <w:rFonts w:hint="eastAsia" w:ascii="仿宋" w:hAnsi="仿宋" w:eastAsia="仿宋" w:cs="宋体"/>
                <w:sz w:val="16"/>
                <w:szCs w:val="16"/>
              </w:rPr>
              <w:t xml:space="preserve">因不履行或不正确履行行政职责，有下列情形的，行政机关及相应工作人员因承担相应责任：</w:t>
            </w:r>
            <w:r>
              <w:rPr>
                <w:rFonts w:hint="eastAsia" w:ascii="仿宋" w:hAnsi="仿宋" w:eastAsia="仿宋" w:cs="宋体"/>
                <w:sz w:val="16"/>
                <w:szCs w:val="16"/>
              </w:rPr>
              <w:br/>
            </w:r>
            <w:r>
              <w:rPr>
                <w:rFonts w:hint="eastAsia" w:ascii="仿宋" w:hAnsi="仿宋" w:eastAsia="仿宋" w:cs="宋体"/>
                <w:sz w:val="16"/>
                <w:szCs w:val="16"/>
              </w:rPr>
              <w:t xml:space="preserve">1.对符合法定条件的行政许可申请不予受理的；</w:t>
            </w:r>
            <w:r>
              <w:rPr>
                <w:rFonts w:hint="eastAsia" w:ascii="仿宋" w:hAnsi="仿宋" w:eastAsia="仿宋" w:cs="宋体"/>
                <w:sz w:val="16"/>
                <w:szCs w:val="16"/>
              </w:rPr>
              <w:br/>
            </w:r>
            <w:r>
              <w:rPr>
                <w:rFonts w:hint="eastAsia" w:ascii="仿宋" w:hAnsi="仿宋" w:eastAsia="仿宋" w:cs="宋体"/>
                <w:sz w:val="16"/>
                <w:szCs w:val="16"/>
              </w:rPr>
              <w:t xml:space="preserve">2.对不符合法定条件的申请人准予行政许可或者超越法定职权作出准予行政许可决定的；</w:t>
            </w:r>
            <w:r>
              <w:rPr>
                <w:rFonts w:hint="eastAsia" w:ascii="仿宋" w:hAnsi="仿宋" w:eastAsia="仿宋" w:cs="宋体"/>
                <w:sz w:val="16"/>
                <w:szCs w:val="16"/>
              </w:rPr>
              <w:br/>
            </w:r>
            <w:r>
              <w:rPr>
                <w:rFonts w:hint="eastAsia" w:ascii="仿宋" w:hAnsi="仿宋" w:eastAsia="仿宋" w:cs="宋体"/>
                <w:sz w:val="16"/>
                <w:szCs w:val="16"/>
              </w:rPr>
              <w:t xml:space="preserve">3.对符合法定条件的申请人不予行政许可或者不在法定期限内作出准予行政许可决定的；</w:t>
            </w:r>
            <w:r>
              <w:rPr>
                <w:rFonts w:hint="eastAsia" w:ascii="仿宋" w:hAnsi="仿宋" w:eastAsia="仿宋" w:cs="宋体"/>
                <w:sz w:val="16"/>
                <w:szCs w:val="16"/>
              </w:rPr>
              <w:br/>
            </w:r>
            <w:r>
              <w:rPr>
                <w:rFonts w:hint="eastAsia" w:ascii="仿宋" w:hAnsi="仿宋" w:eastAsia="仿宋" w:cs="宋体"/>
                <w:sz w:val="16"/>
                <w:szCs w:val="16"/>
              </w:rPr>
              <w:t xml:space="preserve">4.不依法履行监管职责和监管不力，发生违法违规经营行为的；</w:t>
            </w:r>
            <w:r>
              <w:rPr>
                <w:rFonts w:hint="eastAsia" w:ascii="仿宋" w:hAnsi="仿宋" w:eastAsia="仿宋" w:cs="宋体"/>
                <w:sz w:val="16"/>
                <w:szCs w:val="16"/>
              </w:rPr>
              <w:br/>
            </w:r>
            <w:r>
              <w:rPr>
                <w:rFonts w:hint="eastAsia" w:ascii="仿宋" w:hAnsi="仿宋" w:eastAsia="仿宋" w:cs="宋体"/>
                <w:sz w:val="16"/>
                <w:szCs w:val="16"/>
              </w:rPr>
              <w:t xml:space="preserve">5.违反法定程序实施行政许可的；</w:t>
            </w:r>
            <w:r>
              <w:rPr>
                <w:rFonts w:hint="eastAsia" w:ascii="仿宋" w:hAnsi="仿宋" w:eastAsia="仿宋" w:cs="宋体"/>
                <w:sz w:val="16"/>
                <w:szCs w:val="16"/>
              </w:rPr>
              <w:br/>
            </w:r>
            <w:r>
              <w:rPr>
                <w:rFonts w:hint="eastAsia" w:ascii="仿宋" w:hAnsi="仿宋" w:eastAsia="仿宋" w:cs="宋体"/>
                <w:sz w:val="16"/>
                <w:szCs w:val="16"/>
              </w:rPr>
              <w:t xml:space="preserve">6.违规审批、实施监督检查，索取或者收受他人财物或者谋取其他利益；</w:t>
            </w:r>
            <w:r>
              <w:rPr>
                <w:rFonts w:ascii="仿宋" w:hAnsi="仿宋" w:eastAsia="仿宋" w:cs="宋体"/>
                <w:sz w:val="16"/>
                <w:szCs w:val="16"/>
              </w:rPr>
            </w:r>
          </w:p>
        </w:tc>
      </w:tr>
      <w:tr>
        <w:trPr>
          <w:trHeight w:val="8350"/>
        </w:trPr>
        <w:tc>
          <w:tcPr>
            <w:shd w:val="clear" w:color="auto" w:fill="auto"/>
            <w:tcBorders>
              <w:top w:val="none" w:color="000000" w:sz="4" w:space="0"/>
              <w:left w:val="single" w:color="auto" w:sz="4" w:space="0"/>
              <w:bottom w:val="single" w:color="auto" w:sz="4" w:space="0"/>
              <w:right w:val="single" w:color="auto" w:sz="4" w:space="0"/>
            </w:tcBorders>
            <w:tcW w:w="675" w:type="dxa"/>
            <w:vAlign w:val="center"/>
            <w:vMerge w:val="restart"/>
            <w:textDirection w:val="lrTb"/>
            <w:noWrap/>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14</w:t>
            </w:r>
            <w:r>
              <w:rPr>
                <w:rFonts w:ascii="仿宋" w:hAnsi="仿宋" w:eastAsia="仿宋" w:cs="宋体"/>
                <w:color w:val="000000"/>
                <w:sz w:val="16"/>
                <w:szCs w:val="16"/>
              </w:rPr>
            </w:r>
          </w:p>
        </w:tc>
        <w:tc>
          <w:tcPr>
            <w:shd w:val="clear" w:color="auto" w:fill="auto"/>
            <w:tcBorders>
              <w:top w:val="none" w:color="000000" w:sz="4" w:space="0"/>
              <w:left w:val="single" w:color="auto" w:sz="4" w:space="0"/>
              <w:bottom w:val="single" w:color="auto" w:sz="4" w:space="0"/>
              <w:right w:val="single" w:color="auto" w:sz="4" w:space="0"/>
            </w:tcBorders>
            <w:tcW w:w="1418" w:type="dxa"/>
            <w:vAlign w:val="center"/>
            <w:vMerge w:val="restart"/>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卫星电视广播地面接收设施审批</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卫星地面接收设施安装服务许可证核发</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行政许可</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3"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天水市麦积区文体广电和旅游局</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政务服务管理股</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3685" w:type="dxa"/>
            <w:vAlign w:val="center"/>
            <w:textDirection w:val="lrTb"/>
            <w:noWrap w:val="false"/>
          </w:tcPr>
          <w:p>
            <w:pPr>
              <w:widowControl w:val="true"/>
              <w:pBdr/>
              <w:spacing/>
              <w:ind/>
              <w:jc w:val="left"/>
              <w:rPr>
                <w:rFonts w:ascii="仿宋" w:hAnsi="仿宋" w:eastAsia="仿宋" w:cs="宋体"/>
                <w:sz w:val="16"/>
                <w:szCs w:val="16"/>
              </w:rPr>
            </w:pPr>
            <w:r>
              <w:rPr>
                <w:rFonts w:hint="eastAsia" w:ascii="仿宋" w:hAnsi="仿宋" w:eastAsia="仿宋" w:cs="宋体"/>
                <w:sz w:val="16"/>
                <w:szCs w:val="16"/>
              </w:rPr>
              <w:t xml:space="preserve">1.《广播电视管理条例》（1997年8月11日国务院令第228号，2017年3月1日予以修改）第二十六条 安装和使用卫星广播电视地面接收设施，应当按照国家有关规定向省、自治区、直辖市人民政府广播电视行政部门申领许可证。</w:t>
            </w:r>
            <w:r>
              <w:rPr>
                <w:rFonts w:hint="eastAsia" w:ascii="仿宋" w:hAnsi="仿宋" w:eastAsia="仿宋" w:cs="宋体"/>
                <w:sz w:val="16"/>
                <w:szCs w:val="16"/>
              </w:rPr>
              <w:br/>
            </w:r>
            <w:r>
              <w:rPr>
                <w:rFonts w:hint="eastAsia" w:ascii="仿宋" w:hAnsi="仿宋" w:eastAsia="仿宋" w:cs="宋体"/>
                <w:sz w:val="16"/>
                <w:szCs w:val="16"/>
              </w:rPr>
              <w:t xml:space="preserve">2.《卫星电视广播地面接收设施安装服务暂行办法》（2009年8月6日广电总局令第60号,2015年8月28日予以修改）第七条 设立卫星地面接收设施安装服务机构，应当根据拟申请服务区的范围，向所在地县级以上人民政府广播电视行政部门提出申请，经逐级审核后，报省、自治区、直辖市以上人民政府广播电视行政部门审批。</w:t>
            </w:r>
            <w:r>
              <w:rPr>
                <w:rFonts w:ascii="仿宋" w:hAnsi="仿宋" w:eastAsia="仿宋" w:cs="宋体"/>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widowControl w:val="true"/>
              <w:pBdr/>
              <w:spacing/>
              <w:ind/>
              <w:jc w:val="left"/>
              <w:rPr>
                <w:rFonts w:ascii="仿宋" w:hAnsi="仿宋" w:eastAsia="仿宋" w:cs="宋体"/>
                <w:sz w:val="16"/>
                <w:szCs w:val="16"/>
              </w:rPr>
            </w:pPr>
            <w:r>
              <w:rPr>
                <w:rFonts w:hint="eastAsia" w:ascii="仿宋" w:hAnsi="仿宋" w:eastAsia="仿宋" w:cs="宋体"/>
                <w:sz w:val="16"/>
                <w:szCs w:val="16"/>
              </w:rPr>
              <w:t xml:space="preserve">1.受理阶段责任：公示依法应当提交的材料；一次性告知补正材料；依法受理或不予受理（不予受理应当告知理由）。</w:t>
            </w:r>
            <w:r>
              <w:rPr>
                <w:rFonts w:hint="eastAsia" w:ascii="仿宋" w:hAnsi="仿宋" w:eastAsia="仿宋" w:cs="宋体"/>
                <w:sz w:val="16"/>
                <w:szCs w:val="16"/>
              </w:rPr>
              <w:br/>
            </w:r>
            <w:r>
              <w:rPr>
                <w:rFonts w:hint="eastAsia" w:ascii="仿宋" w:hAnsi="仿宋" w:eastAsia="仿宋" w:cs="宋体"/>
                <w:sz w:val="16"/>
                <w:szCs w:val="16"/>
              </w:rPr>
              <w:t xml:space="preserve">2.审查阶段责任：对申请材料进行预审、提出预审意见；对经营场所、营业设施、设备进行现场检查。</w:t>
            </w:r>
            <w:r>
              <w:rPr>
                <w:rFonts w:hint="eastAsia" w:ascii="仿宋" w:hAnsi="仿宋" w:eastAsia="仿宋" w:cs="宋体"/>
                <w:sz w:val="16"/>
                <w:szCs w:val="16"/>
              </w:rPr>
              <w:br/>
            </w:r>
            <w:r>
              <w:rPr>
                <w:rFonts w:hint="eastAsia" w:ascii="仿宋" w:hAnsi="仿宋" w:eastAsia="仿宋" w:cs="宋体"/>
                <w:sz w:val="16"/>
                <w:szCs w:val="16"/>
              </w:rPr>
              <w:t xml:space="preserve">3.决定阶段责任：作出行政许可或者不予行政许可决定，法定告知（不予许可的应当书面告知理由）。</w:t>
            </w:r>
            <w:r>
              <w:rPr>
                <w:rFonts w:hint="eastAsia" w:ascii="仿宋" w:hAnsi="仿宋" w:eastAsia="仿宋" w:cs="宋体"/>
                <w:sz w:val="16"/>
                <w:szCs w:val="16"/>
              </w:rPr>
              <w:br/>
            </w:r>
            <w:r>
              <w:rPr>
                <w:rFonts w:hint="eastAsia" w:ascii="仿宋" w:hAnsi="仿宋" w:eastAsia="仿宋" w:cs="宋体"/>
                <w:sz w:val="16"/>
                <w:szCs w:val="16"/>
              </w:rPr>
              <w:t xml:space="preserve">4.送达阶段责任：准予许可的制作许可证件，送达并信息公开。</w:t>
            </w:r>
            <w:r>
              <w:rPr>
                <w:rFonts w:hint="eastAsia" w:ascii="仿宋" w:hAnsi="仿宋" w:eastAsia="仿宋" w:cs="宋体"/>
                <w:sz w:val="16"/>
                <w:szCs w:val="16"/>
              </w:rPr>
              <w:br/>
            </w:r>
            <w:r>
              <w:rPr>
                <w:rFonts w:hint="eastAsia" w:ascii="仿宋" w:hAnsi="仿宋" w:eastAsia="仿宋" w:cs="宋体"/>
                <w:sz w:val="16"/>
                <w:szCs w:val="16"/>
              </w:rPr>
              <w:t xml:space="preserve">5.事后监管责任：开展定期和不定期检查，根据检查情况，依法采取相关处置措施。</w:t>
            </w:r>
            <w:r>
              <w:rPr>
                <w:rFonts w:ascii="仿宋" w:hAnsi="仿宋" w:eastAsia="仿宋" w:cs="宋体"/>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pPr>
              <w:widowControl w:val="true"/>
              <w:pBdr/>
              <w:spacing/>
              <w:ind/>
              <w:jc w:val="left"/>
              <w:rPr>
                <w:rFonts w:ascii="仿宋" w:hAnsi="仿宋" w:eastAsia="仿宋" w:cs="宋体"/>
                <w:sz w:val="16"/>
                <w:szCs w:val="16"/>
              </w:rPr>
            </w:pPr>
            <w:r>
              <w:rPr>
                <w:rFonts w:hint="eastAsia" w:ascii="仿宋" w:hAnsi="仿宋" w:eastAsia="仿宋" w:cs="宋体"/>
                <w:sz w:val="16"/>
                <w:szCs w:val="16"/>
              </w:rPr>
              <w:t xml:space="preserve">因不履行或不正确履行行政职责，有下列情形的，行政机关及相应工作人员因承担相应责任：</w:t>
            </w:r>
            <w:r>
              <w:rPr>
                <w:rFonts w:hint="eastAsia" w:ascii="仿宋" w:hAnsi="仿宋" w:eastAsia="仿宋" w:cs="宋体"/>
                <w:sz w:val="16"/>
                <w:szCs w:val="16"/>
              </w:rPr>
              <w:br/>
            </w:r>
            <w:r>
              <w:rPr>
                <w:rFonts w:hint="eastAsia" w:ascii="仿宋" w:hAnsi="仿宋" w:eastAsia="仿宋" w:cs="宋体"/>
                <w:sz w:val="16"/>
                <w:szCs w:val="16"/>
              </w:rPr>
              <w:t xml:space="preserve">1.对符合法定条件的行政许可申请不予受理的；</w:t>
            </w:r>
            <w:r>
              <w:rPr>
                <w:rFonts w:hint="eastAsia" w:ascii="仿宋" w:hAnsi="仿宋" w:eastAsia="仿宋" w:cs="宋体"/>
                <w:sz w:val="16"/>
                <w:szCs w:val="16"/>
              </w:rPr>
              <w:br/>
            </w:r>
            <w:r>
              <w:rPr>
                <w:rFonts w:hint="eastAsia" w:ascii="仿宋" w:hAnsi="仿宋" w:eastAsia="仿宋" w:cs="宋体"/>
                <w:sz w:val="16"/>
                <w:szCs w:val="16"/>
              </w:rPr>
              <w:t xml:space="preserve">2.对不符合法定条件的申请人准予行政许可或者超越法定职权作出准予行政许可决定的；</w:t>
            </w:r>
            <w:r>
              <w:rPr>
                <w:rFonts w:hint="eastAsia" w:ascii="仿宋" w:hAnsi="仿宋" w:eastAsia="仿宋" w:cs="宋体"/>
                <w:sz w:val="16"/>
                <w:szCs w:val="16"/>
              </w:rPr>
              <w:br/>
            </w:r>
            <w:r>
              <w:rPr>
                <w:rFonts w:hint="eastAsia" w:ascii="仿宋" w:hAnsi="仿宋" w:eastAsia="仿宋" w:cs="宋体"/>
                <w:sz w:val="16"/>
                <w:szCs w:val="16"/>
              </w:rPr>
              <w:t xml:space="preserve">3.对符合法定条件的申请人不予行政许可或者不在法定期限内作出准予行政许可决定的；</w:t>
            </w:r>
            <w:r>
              <w:rPr>
                <w:rFonts w:hint="eastAsia" w:ascii="仿宋" w:hAnsi="仿宋" w:eastAsia="仿宋" w:cs="宋体"/>
                <w:sz w:val="16"/>
                <w:szCs w:val="16"/>
              </w:rPr>
              <w:br/>
            </w:r>
            <w:r>
              <w:rPr>
                <w:rFonts w:hint="eastAsia" w:ascii="仿宋" w:hAnsi="仿宋" w:eastAsia="仿宋" w:cs="宋体"/>
                <w:sz w:val="16"/>
                <w:szCs w:val="16"/>
              </w:rPr>
              <w:t xml:space="preserve">4.不依法履行监管职责和监管不力，发生违法违规经营行为的；</w:t>
            </w:r>
            <w:r>
              <w:rPr>
                <w:rFonts w:hint="eastAsia" w:ascii="仿宋" w:hAnsi="仿宋" w:eastAsia="仿宋" w:cs="宋体"/>
                <w:sz w:val="16"/>
                <w:szCs w:val="16"/>
              </w:rPr>
              <w:br/>
            </w:r>
            <w:r>
              <w:rPr>
                <w:rFonts w:hint="eastAsia" w:ascii="仿宋" w:hAnsi="仿宋" w:eastAsia="仿宋" w:cs="宋体"/>
                <w:sz w:val="16"/>
                <w:szCs w:val="16"/>
              </w:rPr>
              <w:t xml:space="preserve">5.违反法定程序实施行政许可的；</w:t>
            </w:r>
            <w:r>
              <w:rPr>
                <w:rFonts w:hint="eastAsia" w:ascii="仿宋" w:hAnsi="仿宋" w:eastAsia="仿宋" w:cs="宋体"/>
                <w:sz w:val="16"/>
                <w:szCs w:val="16"/>
              </w:rPr>
              <w:br/>
            </w:r>
            <w:r>
              <w:rPr>
                <w:rFonts w:hint="eastAsia" w:ascii="仿宋" w:hAnsi="仿宋" w:eastAsia="仿宋" w:cs="宋体"/>
                <w:sz w:val="16"/>
                <w:szCs w:val="16"/>
              </w:rPr>
              <w:t xml:space="preserve">6.违规审批、实施监督检查，索取或者收受他人财物或者谋取其他利益；</w:t>
            </w:r>
            <w:r>
              <w:rPr>
                <w:rFonts w:ascii="仿宋" w:hAnsi="仿宋" w:eastAsia="仿宋" w:cs="宋体"/>
                <w:sz w:val="16"/>
                <w:szCs w:val="16"/>
              </w:rPr>
            </w:r>
          </w:p>
        </w:tc>
      </w:tr>
      <w:tr>
        <w:trPr>
          <w:trHeight w:val="5839"/>
        </w:trPr>
        <w:tc>
          <w:tcPr>
            <w:tcBorders>
              <w:top w:val="none" w:color="000000" w:sz="4" w:space="0"/>
              <w:left w:val="single" w:color="auto" w:sz="4" w:space="0"/>
              <w:bottom w:val="single" w:color="auto" w:sz="4" w:space="0"/>
              <w:right w:val="single" w:color="auto" w:sz="4" w:space="0"/>
            </w:tcBorders>
            <w:tcW w:w="675" w:type="dxa"/>
            <w:vAlign w:val="center"/>
            <w:vMerge w:val="continue"/>
            <w:textDirection w:val="lrTb"/>
            <w:noWrap w:val="false"/>
          </w:tcPr>
          <w:p>
            <w:pPr>
              <w:widowControl w:val="true"/>
              <w:pBdr/>
              <w:spacing/>
              <w:ind/>
              <w:jc w:val="left"/>
              <w:rPr>
                <w:rFonts w:ascii="仿宋" w:hAnsi="仿宋" w:eastAsia="仿宋" w:cs="宋体"/>
                <w:color w:val="000000"/>
                <w:sz w:val="16"/>
                <w:szCs w:val="16"/>
              </w:rPr>
            </w:pPr>
            <w:r>
              <w:rPr>
                <w:rFonts w:ascii="仿宋" w:hAnsi="仿宋" w:eastAsia="仿宋" w:cs="宋体"/>
                <w:color w:val="000000"/>
                <w:sz w:val="16"/>
                <w:szCs w:val="16"/>
              </w:rPr>
            </w:r>
            <w:r>
              <w:rPr>
                <w:rFonts w:ascii="仿宋" w:hAnsi="仿宋" w:eastAsia="仿宋" w:cs="宋体"/>
                <w:color w:val="000000"/>
                <w:sz w:val="16"/>
                <w:szCs w:val="16"/>
              </w:rPr>
            </w:r>
          </w:p>
        </w:tc>
        <w:tc>
          <w:tcPr>
            <w:tcBorders>
              <w:top w:val="none" w:color="000000" w:sz="4" w:space="0"/>
              <w:left w:val="single" w:color="auto" w:sz="4" w:space="0"/>
              <w:bottom w:val="single" w:color="auto" w:sz="4" w:space="0"/>
              <w:right w:val="single" w:color="auto" w:sz="4" w:space="0"/>
            </w:tcBorders>
            <w:tcW w:w="1418" w:type="dxa"/>
            <w:vAlign w:val="center"/>
            <w:vMerge w:val="continue"/>
            <w:textDirection w:val="lrTb"/>
            <w:noWrap w:val="false"/>
          </w:tcPr>
          <w:p>
            <w:pPr>
              <w:widowControl w:val="true"/>
              <w:pBdr/>
              <w:spacing/>
              <w:ind/>
              <w:jc w:val="left"/>
              <w:rPr>
                <w:rFonts w:ascii="仿宋" w:hAnsi="仿宋" w:eastAsia="仿宋" w:cs="宋体"/>
                <w:color w:val="000000"/>
                <w:sz w:val="16"/>
                <w:szCs w:val="16"/>
              </w:rPr>
            </w:pPr>
            <w:r>
              <w:rPr>
                <w:rFonts w:ascii="仿宋" w:hAnsi="仿宋" w:eastAsia="仿宋" w:cs="宋体"/>
                <w:color w:val="000000"/>
                <w:sz w:val="16"/>
                <w:szCs w:val="16"/>
              </w:rPr>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接收卫星传送的境外电视节目许可证核发</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行政许可</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3"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天水市麦积区文体广电和旅游局</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政务服务管理股</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3685" w:type="dxa"/>
            <w:vAlign w:val="center"/>
            <w:textDirection w:val="lrTb"/>
            <w:noWrap w:val="false"/>
          </w:tcPr>
          <w:p>
            <w:pPr>
              <w:widowControl w:val="true"/>
              <w:pBdr/>
              <w:spacing/>
              <w:ind/>
              <w:jc w:val="left"/>
              <w:rPr>
                <w:rFonts w:ascii="仿宋" w:hAnsi="仿宋" w:eastAsia="仿宋" w:cs="宋体"/>
                <w:sz w:val="16"/>
                <w:szCs w:val="16"/>
              </w:rPr>
            </w:pPr>
            <w:r>
              <w:rPr>
                <w:rFonts w:hint="eastAsia" w:ascii="仿宋" w:hAnsi="仿宋" w:eastAsia="仿宋" w:cs="宋体"/>
                <w:sz w:val="16"/>
                <w:szCs w:val="16"/>
              </w:rPr>
              <w:t xml:space="preserve">1.《广播电视管理条例》（1997年8月11日国务院令第228号，2017年3月1日予以修改）第二十六条 安装和使用卫星广播电视地面接收设施，应当按照国家有关规定向省、自治区、直辖市人民政府广播电视行政部门申领许可证。</w:t>
            </w:r>
            <w:r>
              <w:rPr>
                <w:rFonts w:hint="eastAsia" w:ascii="仿宋" w:hAnsi="仿宋" w:eastAsia="仿宋" w:cs="宋体"/>
                <w:sz w:val="16"/>
                <w:szCs w:val="16"/>
              </w:rPr>
              <w:br/>
            </w:r>
            <w:r>
              <w:rPr>
                <w:rFonts w:hint="eastAsia" w:ascii="仿宋" w:hAnsi="仿宋" w:eastAsia="仿宋" w:cs="宋体"/>
                <w:sz w:val="16"/>
                <w:szCs w:val="16"/>
              </w:rPr>
              <w:t xml:space="preserve">2.《卫星电视广播地面接收设施管理规定》（1993年10月5日国务院令第129号，2018年9月18日予以修改）第八条 单位设置卫星地面接收设施的，必须向当地县、市人民政府广播电视行政部门提出申请，报省、自治区、直辖市人民政府广播电视行政部门审批，凭审批机关开具的证明购买卫星地面接收设施。卫星地面接收设施安装完毕，由审批机关发给《接收卫星传送的电视节目许可证》。 </w:t>
            </w:r>
            <w:r>
              <w:rPr>
                <w:rFonts w:hint="eastAsia" w:ascii="仿宋" w:hAnsi="仿宋" w:eastAsia="仿宋" w:cs="宋体"/>
                <w:sz w:val="16"/>
                <w:szCs w:val="16"/>
              </w:rPr>
              <w:br/>
            </w:r>
            <w:r>
              <w:rPr>
                <w:rFonts w:hint="eastAsia" w:ascii="仿宋" w:hAnsi="仿宋" w:eastAsia="仿宋" w:cs="宋体"/>
                <w:sz w:val="16"/>
                <w:szCs w:val="16"/>
              </w:rPr>
              <w:t xml:space="preserve">3.《&lt;卫星电视广播地面接收设施管理规定&gt;实施细则》（1994年2月3日广播电影电视部令第11号）第五条第三款 凡需设置卫星地面接收设施接收境外电视节目的单位，必须向当地县级以上（含县级）广播电视行政部门提出申请，经地、市级广播电视行政部门和国家安全部门签署意见后，报所在省、自治区、直辖市广播电视行政部门审批。</w:t>
            </w:r>
            <w:r>
              <w:rPr>
                <w:rFonts w:ascii="仿宋" w:hAnsi="仿宋" w:eastAsia="仿宋" w:cs="宋体"/>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widowControl w:val="true"/>
              <w:pBdr/>
              <w:spacing/>
              <w:ind/>
              <w:jc w:val="left"/>
              <w:rPr>
                <w:rFonts w:ascii="仿宋" w:hAnsi="仿宋" w:eastAsia="仿宋" w:cs="宋体"/>
                <w:sz w:val="16"/>
                <w:szCs w:val="16"/>
              </w:rPr>
            </w:pPr>
            <w:r>
              <w:rPr>
                <w:rFonts w:hint="eastAsia" w:ascii="仿宋" w:hAnsi="仿宋" w:eastAsia="仿宋" w:cs="宋体"/>
                <w:sz w:val="16"/>
                <w:szCs w:val="16"/>
              </w:rPr>
              <w:t xml:space="preserve">1.受理阶段责任：公示依法应当提交的材料；一次性告知补正材料；依法受理或不予受理（不予受理应当告知理由）。</w:t>
            </w:r>
            <w:r>
              <w:rPr>
                <w:rFonts w:hint="eastAsia" w:ascii="仿宋" w:hAnsi="仿宋" w:eastAsia="仿宋" w:cs="宋体"/>
                <w:sz w:val="16"/>
                <w:szCs w:val="16"/>
              </w:rPr>
              <w:br/>
            </w:r>
            <w:r>
              <w:rPr>
                <w:rFonts w:hint="eastAsia" w:ascii="仿宋" w:hAnsi="仿宋" w:eastAsia="仿宋" w:cs="宋体"/>
                <w:sz w:val="16"/>
                <w:szCs w:val="16"/>
              </w:rPr>
              <w:t xml:space="preserve">2.审查阶段责任：对申请材料进行预审、提出预审意见；对经营场所、营业设施、设备进行现场检查。</w:t>
            </w:r>
            <w:r>
              <w:rPr>
                <w:rFonts w:hint="eastAsia" w:ascii="仿宋" w:hAnsi="仿宋" w:eastAsia="仿宋" w:cs="宋体"/>
                <w:sz w:val="16"/>
                <w:szCs w:val="16"/>
              </w:rPr>
              <w:br/>
            </w:r>
            <w:r>
              <w:rPr>
                <w:rFonts w:hint="eastAsia" w:ascii="仿宋" w:hAnsi="仿宋" w:eastAsia="仿宋" w:cs="宋体"/>
                <w:sz w:val="16"/>
                <w:szCs w:val="16"/>
              </w:rPr>
              <w:t xml:space="preserve">3.决定阶段责任：作出行政许可或者不予行政许可决定，法定告知（不予许可的应当书面告知理由）。</w:t>
            </w:r>
            <w:r>
              <w:rPr>
                <w:rFonts w:hint="eastAsia" w:ascii="仿宋" w:hAnsi="仿宋" w:eastAsia="仿宋" w:cs="宋体"/>
                <w:sz w:val="16"/>
                <w:szCs w:val="16"/>
              </w:rPr>
              <w:br/>
            </w:r>
            <w:r>
              <w:rPr>
                <w:rFonts w:hint="eastAsia" w:ascii="仿宋" w:hAnsi="仿宋" w:eastAsia="仿宋" w:cs="宋体"/>
                <w:sz w:val="16"/>
                <w:szCs w:val="16"/>
              </w:rPr>
              <w:t xml:space="preserve">4.送达阶段责任：准予许可的制作许可证件，送达并信息公开。</w:t>
            </w:r>
            <w:r>
              <w:rPr>
                <w:rFonts w:hint="eastAsia" w:ascii="仿宋" w:hAnsi="仿宋" w:eastAsia="仿宋" w:cs="宋体"/>
                <w:sz w:val="16"/>
                <w:szCs w:val="16"/>
              </w:rPr>
              <w:br/>
            </w:r>
            <w:r>
              <w:rPr>
                <w:rFonts w:hint="eastAsia" w:ascii="仿宋" w:hAnsi="仿宋" w:eastAsia="仿宋" w:cs="宋体"/>
                <w:sz w:val="16"/>
                <w:szCs w:val="16"/>
              </w:rPr>
              <w:t xml:space="preserve">5.事后监管责任：开展定期和不定期检查，根据检查情况，依法采取相关处置措施。</w:t>
            </w:r>
            <w:r>
              <w:rPr>
                <w:rFonts w:ascii="仿宋" w:hAnsi="仿宋" w:eastAsia="仿宋" w:cs="宋体"/>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pPr>
              <w:widowControl w:val="true"/>
              <w:pBdr/>
              <w:spacing/>
              <w:ind/>
              <w:jc w:val="left"/>
              <w:rPr>
                <w:rFonts w:ascii="仿宋" w:hAnsi="仿宋" w:eastAsia="仿宋" w:cs="宋体"/>
                <w:sz w:val="16"/>
                <w:szCs w:val="16"/>
              </w:rPr>
            </w:pPr>
            <w:r>
              <w:rPr>
                <w:rFonts w:hint="eastAsia" w:ascii="仿宋" w:hAnsi="仿宋" w:eastAsia="仿宋" w:cs="宋体"/>
                <w:sz w:val="16"/>
                <w:szCs w:val="16"/>
              </w:rPr>
              <w:t xml:space="preserve">因不履行或不正确履行行政职责，有下列情形的，行政机关及相应工作人员因承担相应责任：</w:t>
            </w:r>
            <w:r>
              <w:rPr>
                <w:rFonts w:hint="eastAsia" w:ascii="仿宋" w:hAnsi="仿宋" w:eastAsia="仿宋" w:cs="宋体"/>
                <w:sz w:val="16"/>
                <w:szCs w:val="16"/>
              </w:rPr>
              <w:br/>
            </w:r>
            <w:r>
              <w:rPr>
                <w:rFonts w:hint="eastAsia" w:ascii="仿宋" w:hAnsi="仿宋" w:eastAsia="仿宋" w:cs="宋体"/>
                <w:sz w:val="16"/>
                <w:szCs w:val="16"/>
              </w:rPr>
              <w:t xml:space="preserve">1.对符合法定条件的行政许可申请不予受理的；</w:t>
            </w:r>
            <w:r>
              <w:rPr>
                <w:rFonts w:hint="eastAsia" w:ascii="仿宋" w:hAnsi="仿宋" w:eastAsia="仿宋" w:cs="宋体"/>
                <w:sz w:val="16"/>
                <w:szCs w:val="16"/>
              </w:rPr>
              <w:br/>
            </w:r>
            <w:r>
              <w:rPr>
                <w:rFonts w:hint="eastAsia" w:ascii="仿宋" w:hAnsi="仿宋" w:eastAsia="仿宋" w:cs="宋体"/>
                <w:sz w:val="16"/>
                <w:szCs w:val="16"/>
              </w:rPr>
              <w:t xml:space="preserve">2.对不符合法定条件的申请人准予行政许可或者超越法定职权作出准予行政许可决定的；</w:t>
            </w:r>
            <w:r>
              <w:rPr>
                <w:rFonts w:hint="eastAsia" w:ascii="仿宋" w:hAnsi="仿宋" w:eastAsia="仿宋" w:cs="宋体"/>
                <w:sz w:val="16"/>
                <w:szCs w:val="16"/>
              </w:rPr>
              <w:br/>
            </w:r>
            <w:r>
              <w:rPr>
                <w:rFonts w:hint="eastAsia" w:ascii="仿宋" w:hAnsi="仿宋" w:eastAsia="仿宋" w:cs="宋体"/>
                <w:sz w:val="16"/>
                <w:szCs w:val="16"/>
              </w:rPr>
              <w:t xml:space="preserve">3.对符合法定条件的申请人不予行政许可或者不在法定期限内作出准予行政许可决定的；</w:t>
            </w:r>
            <w:r>
              <w:rPr>
                <w:rFonts w:hint="eastAsia" w:ascii="仿宋" w:hAnsi="仿宋" w:eastAsia="仿宋" w:cs="宋体"/>
                <w:sz w:val="16"/>
                <w:szCs w:val="16"/>
              </w:rPr>
              <w:br/>
            </w:r>
            <w:r>
              <w:rPr>
                <w:rFonts w:hint="eastAsia" w:ascii="仿宋" w:hAnsi="仿宋" w:eastAsia="仿宋" w:cs="宋体"/>
                <w:sz w:val="16"/>
                <w:szCs w:val="16"/>
              </w:rPr>
              <w:t xml:space="preserve">4.不依法履行监管职责和监管不力，发生违法违规经营行为的；</w:t>
            </w:r>
            <w:r>
              <w:rPr>
                <w:rFonts w:hint="eastAsia" w:ascii="仿宋" w:hAnsi="仿宋" w:eastAsia="仿宋" w:cs="宋体"/>
                <w:sz w:val="16"/>
                <w:szCs w:val="16"/>
              </w:rPr>
              <w:br/>
            </w:r>
            <w:r>
              <w:rPr>
                <w:rFonts w:hint="eastAsia" w:ascii="仿宋" w:hAnsi="仿宋" w:eastAsia="仿宋" w:cs="宋体"/>
                <w:sz w:val="16"/>
                <w:szCs w:val="16"/>
              </w:rPr>
              <w:t xml:space="preserve">5.违反法定程序实施行政许可的；</w:t>
            </w:r>
            <w:r>
              <w:rPr>
                <w:rFonts w:hint="eastAsia" w:ascii="仿宋" w:hAnsi="仿宋" w:eastAsia="仿宋" w:cs="宋体"/>
                <w:sz w:val="16"/>
                <w:szCs w:val="16"/>
              </w:rPr>
              <w:br/>
            </w:r>
            <w:r>
              <w:rPr>
                <w:rFonts w:hint="eastAsia" w:ascii="仿宋" w:hAnsi="仿宋" w:eastAsia="仿宋" w:cs="宋体"/>
                <w:sz w:val="16"/>
                <w:szCs w:val="16"/>
              </w:rPr>
              <w:t xml:space="preserve">6.违规审批、实施监督检查，索取或者收受他人财物或者谋取其他利益；</w:t>
            </w:r>
            <w:r>
              <w:rPr>
                <w:rFonts w:ascii="仿宋" w:hAnsi="仿宋" w:eastAsia="仿宋" w:cs="宋体"/>
                <w:sz w:val="16"/>
                <w:szCs w:val="16"/>
              </w:rPr>
            </w:r>
          </w:p>
        </w:tc>
      </w:tr>
      <w:tr>
        <w:trPr>
          <w:trHeight w:val="8350"/>
        </w:trPr>
        <w:tc>
          <w:tcPr>
            <w:shd w:val="clear" w:color="auto" w:fill="auto"/>
            <w:tcBorders>
              <w:top w:val="none" w:color="000000" w:sz="4" w:space="0"/>
              <w:left w:val="single" w:color="auto" w:sz="4" w:space="0"/>
              <w:bottom w:val="single" w:color="auto" w:sz="4" w:space="0"/>
              <w:right w:val="single" w:color="auto" w:sz="4" w:space="0"/>
            </w:tcBorders>
            <w:tcW w:w="675" w:type="dxa"/>
            <w:vAlign w:val="center"/>
            <w:textDirection w:val="lrTb"/>
            <w:noWrap/>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15</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widowControl w:val="true"/>
              <w:pBdr/>
              <w:spacing/>
              <w:ind/>
              <w:rPr>
                <w:rFonts w:ascii="仿宋" w:hAnsi="仿宋" w:eastAsia="仿宋" w:cs="宋体"/>
                <w:color w:val="000000"/>
                <w:sz w:val="16"/>
                <w:szCs w:val="16"/>
              </w:rPr>
            </w:pPr>
            <w:r>
              <w:rPr>
                <w:rFonts w:hint="eastAsia" w:ascii="仿宋" w:hAnsi="仿宋" w:eastAsia="仿宋" w:cs="宋体"/>
                <w:color w:val="000000"/>
                <w:sz w:val="16"/>
                <w:szCs w:val="16"/>
              </w:rPr>
              <w:t xml:space="preserve">广播电视、电视台设立、终止审批</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　</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行政许可</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3"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麦积区文体广电和旅游局</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政务服务管理股</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3685"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互联网上网服务营业场所管理条例》（《国务院关于修改部分行政法规的决定》（国务院令第666号）已经于2016年1月13日国务院第119次常务会议通过，并自公布之日（2016年3月1日）起施行。根据《国务院关于修改部分行政法规的决定》，文化部对《互联网上网服务营业场所管理条例》（国务院令第363号）的相关条款进行了调整）</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第四条 县级以上人民政府文化行政部门负责互联网上网服务营业场所经营单位的设立审批。</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第七条 国家对互联网上网服务营业场所经营单位的经营活动实行许可制度。未经许可，任何组织和个人不得设立互联网上网服务营业场所，不得从事互联网上网服务经营活动。</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第十一条文化行政部门应当自收到设立申请之日起20个工作日内作出决定；经审查，符合条件的，发给同意筹建的批准文件。　申请人持公安机关批准文件向文化行政部门申请最终审核。文化行政部门应当自收到申请之日起15个工作日内依据本条例第八条的规定作出决定；经实地检查并审核合格的，发给《网络文化经营许可证》。</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1.受理阶段责任：公示依法应当提交的材料；一次性告知补正材料；依法受理或不予受理（不予受理应告知理由）。</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2.审查阶段责任：对工程立项报告、设计方案、施工技术设计文件等申请材料进行审核。</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3.决定阶段责任：符合条件的予以审批，不符合条件的将材料退回，并告知申请人。</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因不履行或不正确履行行政职责，有下列情形的，行政机关及相应工作人员应承担相应责任： 1.对符合法定条件的行政许可申请不予受理的； 2.对不符合法定条件的申请人准予行政许可或者超越法定职权作出准予行政许可决定的； 3.对符合法定条件的申请人不予行政许可或者不在法定期限内作出准予行政许可决定的； 4.不依法履行监管职责和监管不力，发生违法违规经营行为的； 5.违反法定程序实施行政许可的； 6.违规审批、实施监督检查，索取或者收受他人财物或者谋取其他利益； 7.其他违反法律法规规章规定的行为。</w:t>
            </w:r>
            <w:r>
              <w:rPr>
                <w:rFonts w:ascii="仿宋" w:hAnsi="仿宋" w:eastAsia="仿宋" w:cs="宋体"/>
                <w:color w:val="000000"/>
                <w:sz w:val="16"/>
                <w:szCs w:val="16"/>
              </w:rPr>
            </w:r>
          </w:p>
        </w:tc>
      </w:tr>
      <w:tr>
        <w:trPr>
          <w:trHeight w:val="7924"/>
        </w:trPr>
        <w:tc>
          <w:tcPr>
            <w:shd w:val="clear" w:color="auto" w:fill="auto"/>
            <w:tcBorders>
              <w:top w:val="none" w:color="000000" w:sz="4" w:space="0"/>
              <w:left w:val="single" w:color="auto" w:sz="4" w:space="0"/>
              <w:bottom w:val="single" w:color="auto" w:sz="4" w:space="0"/>
              <w:right w:val="single" w:color="auto" w:sz="4" w:space="0"/>
            </w:tcBorders>
            <w:tcW w:w="675" w:type="dxa"/>
            <w:vAlign w:val="center"/>
            <w:textDirection w:val="lrTb"/>
            <w:noWrap/>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16</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广播电台、电视台变更台名、台标、节目设置范围或节目套数审批</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　</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行政许可</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3"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麦积区文体广电和旅游局</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广电股</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3685" w:type="dxa"/>
            <w:vAlign w:val="center"/>
            <w:textDirection w:val="lrTb"/>
            <w:noWrap w:val="false"/>
          </w:tcPr>
          <w:p>
            <w:pPr>
              <w:widowControl w:val="true"/>
              <w:pBdr/>
              <w:spacing/>
              <w:ind/>
              <w:jc w:val="left"/>
              <w:rPr>
                <w:rFonts w:ascii="仿宋" w:hAnsi="仿宋" w:eastAsia="仿宋" w:cs="宋体"/>
                <w:color w:val="333333"/>
                <w:sz w:val="16"/>
                <w:szCs w:val="16"/>
              </w:rPr>
            </w:pPr>
            <w:r>
              <w:rPr>
                <w:rFonts w:hint="eastAsia" w:ascii="仿宋" w:hAnsi="仿宋" w:eastAsia="仿宋" w:cs="宋体"/>
                <w:color w:val="333333"/>
                <w:sz w:val="16"/>
                <w:szCs w:val="16"/>
              </w:rPr>
              <w:t xml:space="preserve">《广播电视管理条例》（1997年8月11日国务院令第228号，2013年12月7日国务院令第645号第一次修订，2017年3月1日国务院令第676号第二次修订）第十三条： 广播电台、电视台变更台名、节目设置范围或者节目套数，省级以上人民政府广播电视行政部门设立的广播电台、电视台或者省级以上人民政府教育行政部门设立的电视台变更台标的，应当经国务院广播电视行政部门批准。</w:t>
            </w:r>
            <w:r>
              <w:rPr>
                <w:rFonts w:ascii="仿宋" w:hAnsi="仿宋" w:eastAsia="仿宋" w:cs="宋体"/>
                <w:color w:val="333333"/>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1.受理阶段责任：公示依法应当提交的材料；一次性告知补正材料；依法受理或不予受理（不予受理应当告知理由）。</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2.审查阶段责任：对申请材料进行预审、提出预审意见；对经营场所、营业设施、设备进行现场检查。</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3.决定阶段责任：作出行政许可或者不予行政许可决定，法定告知（不予许可的应当书面告知理由）。</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4.送达阶段责任：准予许可的制作许可证件，送达并信息公开。</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5.事后监管责任：开展定期和不定期检查，根据检查情况，依法采取相关处置措施。</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12.其他法律法规规章规定应履行的责任。</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因不履行或不正确履行行政职责，有下列情形的，行政机关及相应工作人员应承担相应责任： 1.对符合法定条件的行政许可申请不予受理的； 2.对不符合法定条件的申请人准予行政许可或者超越法定职权作出准予行政许可决定的； 3.对符合法定条件的申请人不予行政许可或者不在法定期限内作出准予行政许可决定的； 4.不依法履行监管职责和监管不力，发生违法违规经营行为的； 5.违反法定程序实施行政许可的； 6.违规审批、实施监督检查，索取或者收受他人财物或者谋取其他利益； 35.其他违反法律法规规章规定的行为。</w:t>
            </w:r>
            <w:r>
              <w:rPr>
                <w:rFonts w:ascii="仿宋" w:hAnsi="仿宋" w:eastAsia="仿宋" w:cs="宋体"/>
                <w:color w:val="000000"/>
                <w:sz w:val="16"/>
                <w:szCs w:val="16"/>
              </w:rPr>
            </w:r>
          </w:p>
        </w:tc>
      </w:tr>
      <w:tr>
        <w:trPr>
          <w:trHeight w:val="8160"/>
        </w:trPr>
        <w:tc>
          <w:tcPr>
            <w:shd w:val="clear" w:color="auto" w:fill="auto"/>
            <w:tcBorders>
              <w:top w:val="none" w:color="000000" w:sz="4" w:space="0"/>
              <w:left w:val="single" w:color="auto" w:sz="4" w:space="0"/>
              <w:bottom w:val="single" w:color="auto" w:sz="4" w:space="0"/>
              <w:right w:val="single" w:color="auto" w:sz="4" w:space="0"/>
            </w:tcBorders>
            <w:tcW w:w="675" w:type="dxa"/>
            <w:vAlign w:val="center"/>
            <w:textDirection w:val="lrTb"/>
            <w:noWrap/>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17</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互联网上网服务营业场所筹建审批</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　</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行政许可</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3"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天水市麦积区文体广电和旅游局</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政务服务管理股股</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3685"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《互联网上网服务营业场所管理条例》（2002年9月29日中华人民共和国</w:t>
            </w:r>
            <w:r>
              <w:rPr>
                <w:rFonts w:hint="eastAsia" w:ascii="仿宋" w:hAnsi="仿宋" w:eastAsia="仿宋" w:cs="宋体"/>
                <w:color w:val="000000"/>
                <w:sz w:val="16"/>
                <w:szCs w:val="16"/>
              </w:rPr>
              <w:t xml:space="preserve">国务院令第363号公布。根据2011年1月8日中华人民共和国国务院令第588号《国务院关于废止和修改部分行政法规的决定》第一次修订。根据2016年2月6日中华人民共和国国务院令第666号《国务院关于修改部分行政法规的决定》第二次修订。根据2019年3月24日中华人民共和国国务院令第710号《国务院关于修改部分行政法规的决定》第三次修订。2022年4月7日，新华社受权发布《国务院关于修改和废止部分行政法规的决定》，国务院决定对《互联网上网服务营业场所管理条例》的部分条款予以修改，自2022年5月1日起施行。）</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第四条 县级以上人民政府文化行政部门负责互联网上网服务营业场所经营单位的设立审批，并负责对依法设立的互联网上网服务营业场所经营单位经营活动的监督管理；</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第七条 国家对互联网上网服务营业场所经营单位的经营活动实行许可制度。未经许可，任何组织和个人不得从事互联网上网服务经营活动。</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第十一条 文化行政部门应当自收到申请之日起20个工作日内作出决定;经审查，符合条件的，发给同意筹建的批准文件。</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申请人完成筹建后，应当向同级公安机关承诺符合信息网络安全审核条件，并经公安机关确认当场签署承诺书。申请人还应当依照有关消防管理法律法规的规定办理审批手续。</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申请人执信息网络安全承诺书并取得消防安全批准文件后，向文化行政部门申请最终审核。文化行政部门应当自收到申请之日起15个工作日内依据本条例第八条的规定作出决定;经实地检查并审核合格的，发给《网络文化经营许可证》。</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对申请人的申请，有关部门经审查不符合条件的，或者经审核不合格的，应当分别向申请人书面说明理由。</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1.受理阶段责任：公示依法应当提交的材料；一次性告知补正材料；依法受理或不予受理（不予受理应当告知理由）。 2.审查阶段责任：对申请材料进行预审、提出预审意见；对经营场所、营业设施、设备进行现场检查。 3.决定阶段责任：作出行政许可或者不予行政许可决定，法定告知（不予许可的应当书面告知理由）。 4.送达阶段责任：准予许可的制作许可证件，送达并信息公开。 5.事后监管责任：开展定期和不定期检查，根据检查情况，依法采取相关处置措施。 6.其他法律法规规章规定应履行的责任。</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因不履行或不正确履行行政职责，有下列情形的，行政机关及相应工作人员应承担相应责任： 1.对符合法定条件的行政许可申请不予受理的； 2.对不符合法定条件的申请人准予行政许可或者超越法定职权作出准予行政许可决定的； 3.对符合法定条件的申请人不予行政许可或者不在法定期限内作出准予行政许可决定的； 4.不依法履行监管职责和监管不力，发生违法违规经营行为的； 5.违反法定程序实施行政许可的； 6.违规审批、实施监督检查，索取或者收受他人财物或者谋取其他利益； 7.其他违反法律法规规章规定的行为。</w:t>
            </w:r>
            <w:r>
              <w:rPr>
                <w:rFonts w:ascii="仿宋" w:hAnsi="仿宋" w:eastAsia="仿宋" w:cs="宋体"/>
                <w:color w:val="000000"/>
                <w:sz w:val="16"/>
                <w:szCs w:val="16"/>
              </w:rPr>
            </w:r>
          </w:p>
        </w:tc>
      </w:tr>
      <w:tr>
        <w:trPr>
          <w:trHeight w:val="7924"/>
        </w:trPr>
        <w:tc>
          <w:tcPr>
            <w:shd w:val="clear" w:color="auto" w:fill="auto"/>
            <w:tcBorders>
              <w:top w:val="none" w:color="000000" w:sz="4" w:space="0"/>
              <w:left w:val="single" w:color="auto" w:sz="4" w:space="0"/>
              <w:bottom w:val="single" w:color="auto" w:sz="4" w:space="0"/>
              <w:right w:val="single" w:color="auto" w:sz="4" w:space="0"/>
            </w:tcBorders>
            <w:tcW w:w="675" w:type="dxa"/>
            <w:vAlign w:val="center"/>
            <w:textDirection w:val="lrTb"/>
            <w:noWrap/>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18</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广播电视专用频段频率使用许可</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　</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行政许可</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3"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麦积区文体广电和旅游局</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广电股</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3685" w:type="dxa"/>
            <w:vAlign w:val="center"/>
            <w:textDirection w:val="lrTb"/>
            <w:noWrap w:val="false"/>
          </w:tcPr>
          <w:p>
            <w:pPr>
              <w:widowControl w:val="true"/>
              <w:pBdr/>
              <w:spacing/>
              <w:ind/>
              <w:jc w:val="left"/>
              <w:rPr>
                <w:rFonts w:ascii="仿宋" w:hAnsi="仿宋" w:eastAsia="仿宋" w:cs="宋体"/>
                <w:color w:val="333333"/>
                <w:sz w:val="16"/>
                <w:szCs w:val="16"/>
              </w:rPr>
            </w:pPr>
            <w:r>
              <w:rPr>
                <w:rFonts w:hint="eastAsia" w:ascii="仿宋" w:hAnsi="仿宋" w:eastAsia="仿宋" w:cs="宋体"/>
                <w:color w:val="333333"/>
                <w:sz w:val="16"/>
                <w:szCs w:val="16"/>
              </w:rPr>
              <w:t xml:space="preserve">1、《广播电视管理条例》（1997年8月11日国务院令第228号，2013年12月7日国务院令第645号第一次修订，2017年3月1日国务院令第676号第二次</w:t>
            </w:r>
            <w:r>
              <w:rPr>
                <w:rFonts w:hint="eastAsia" w:ascii="仿宋" w:hAnsi="仿宋" w:eastAsia="仿宋" w:cs="宋体"/>
                <w:color w:val="333333"/>
                <w:sz w:val="16"/>
                <w:szCs w:val="16"/>
              </w:rPr>
              <w:t xml:space="preserve">修订）第十八条： “国务院广播电视行政部门负责指配广播电视专用频段的频率，并核发频率专用指配证明。” 2、《广播电视无线传输覆盖网管理办法》（2004年11月15日广电总局令第45号）第二十条： 依本办法第十二条第一至五项取得《广播电视节目传送业务许可证（无线）》的单位，如需申请适用广播电视频率，应向所在地县级以上广播电视行政部门提出书面申请，经逐级审核后，报广电总局审批，领取《广播电视频率适用许可证（甲类）》。许可证有效期为4年。有效期届满需继续开展业务的，应于届满前6个月按本办法规定的审批程序办理手续。</w:t>
            </w:r>
            <w:r>
              <w:rPr>
                <w:rFonts w:ascii="仿宋" w:hAnsi="仿宋" w:eastAsia="仿宋" w:cs="宋体"/>
                <w:color w:val="333333"/>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1.受理阶段责任：公示依法应当提交的材料；一次性告知补正材料；依法受理或不予受理（不予受理应当告知理由）。</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2.审查阶段责任：对申请材料进行预审、提出预审意见；对经营场所、营业设施、设备进行现场检查。</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3.决定阶段责任：作出行政许可或者不予行政许可决定，法定告知（不予许可的应当书面告知理由）。</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4.送达阶段责任：准予许可的制作许可证件，送达并信息公开。</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5.事后监管责任：开展定期和不定期检查，根据检查情况，依法采取相关处置措施。</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7.其他法律法规规章规定应履行的责任。</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因不履行或不正确履行行政职责，有下列情形的，行政机关及相应工作人员应承担相应责任： 1.对符合法定条件的行政许可申请不予受理的； 2.对不符合法定条件的申请人准予行政许可或者超越法定职权作出准予行政许可决定的； 3.对符合法定条件的申请人不予行政许可或者不在法定期限内作出准予行政许可决定的； 4.不依法履行监管职责和监管不力，发生违法违规经营行为的； 5.违反法定程序实施行政许可的； 6.违规审批、实施监督检查，索取或者收受他人财物或者谋取其他利益； 30.其他违反法律法规规章规定的行为。</w:t>
            </w:r>
            <w:r>
              <w:rPr>
                <w:rFonts w:ascii="仿宋" w:hAnsi="仿宋" w:eastAsia="仿宋" w:cs="宋体"/>
                <w:color w:val="000000"/>
                <w:sz w:val="16"/>
                <w:szCs w:val="16"/>
              </w:rPr>
            </w:r>
          </w:p>
        </w:tc>
      </w:tr>
      <w:tr>
        <w:trPr>
          <w:trHeight w:val="8491"/>
        </w:trPr>
        <w:tc>
          <w:tcPr>
            <w:shd w:val="clear" w:color="auto" w:fill="auto"/>
            <w:tcBorders>
              <w:top w:val="none" w:color="000000" w:sz="4" w:space="0"/>
              <w:left w:val="single" w:color="auto" w:sz="4" w:space="0"/>
              <w:bottom w:val="single" w:color="auto" w:sz="4" w:space="0"/>
              <w:right w:val="single" w:color="auto" w:sz="4" w:space="0"/>
            </w:tcBorders>
            <w:tcW w:w="675" w:type="dxa"/>
            <w:vAlign w:val="center"/>
            <w:textDirection w:val="lrTb"/>
            <w:noWrap/>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19</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有线广播电视传输覆盖网工程验收审核</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　</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行政许可</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3"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麦积区文体广电和旅游局</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广电股</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3685"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《广播电视管理条例》（1997年8月11日国 务</w:t>
            </w:r>
            <w:r>
              <w:rPr>
                <w:rFonts w:hint="eastAsia" w:ascii="仿宋" w:hAnsi="仿宋" w:eastAsia="仿宋" w:cs="宋体"/>
                <w:color w:val="000000"/>
                <w:sz w:val="16"/>
                <w:szCs w:val="16"/>
              </w:rPr>
              <w:t xml:space="preserve">院令第228号，2013年12月7日国务院令第 645号第一次修订，2017年3月1日国务院令 第676号第二次修订）第十七条：国务院广播 电视行政部门应当对全国广播电视传输覆盖 网按照国家的统一标准实行统一规划，并实 行分级建设和开发。县级以上地方人民政府 广播电视行政部门应当按照国家有关规定， 组建和管理本行政区域内的广播电视传输覆 盖网。第二十二条：广播电视传输覆盖网的 工程建设和使用的广播电视技术设备，应当 符合国家标准、行业标准。工程竣工后，由 广播电视行政部门组织验收，验收合格的， 方可投入使用</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1.受理阶段责任：公示依法应当提交的 材料；一次性告知补正材料；依法受理 或不予受理（不予受理应当告知理由） 。 2.审查阶段责任：对申请材料进行预审 、提出预审意见。 3.决定阶段责任：作出行政许可或者不 予行政许可决定，法定告知（不予许可 的应当书面告知理由）。 4.送达阶段责任：准予许可的制作许可 证件（文件），送达并信息公开。 5.事后监管责任：开展定期和不定期检 查，根据检查情况，依法采取相关处置 措施。 6.其他法律法规规定应履行的责任</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因不履行或不正确履行行政职责，有下列情形的，行政机关及相应工作人员应承担相应责任： 1.对符合法定条件的行政许可申请不予受理的； 2.对不符合法定条件的申请人准予行政许可或者超越法定职权作出准予行政许可决定的； 3.对符合法定条件的申请人不予行政许可或者不在法定期限内作出准予行政许可决定的； 4.不依法履行监管职责和监管不力，发生违法违规经营行为的； 5.违反法定程序实施行政许可的； 6.违规审批、实施监督检查，索取或者收受他人财物或者谋取其他利益； 27.其他违反法律法规规章规定的行为。</w:t>
            </w:r>
            <w:r>
              <w:rPr>
                <w:rFonts w:ascii="仿宋" w:hAnsi="仿宋" w:eastAsia="仿宋" w:cs="宋体"/>
                <w:color w:val="000000"/>
                <w:sz w:val="16"/>
                <w:szCs w:val="16"/>
              </w:rPr>
            </w:r>
          </w:p>
        </w:tc>
      </w:tr>
      <w:tr>
        <w:trPr>
          <w:trHeight w:val="8350"/>
        </w:trPr>
        <w:tc>
          <w:tcPr>
            <w:shd w:val="clear" w:color="auto" w:fill="auto"/>
            <w:tcBorders>
              <w:top w:val="none" w:color="000000" w:sz="4" w:space="0"/>
              <w:left w:val="single" w:color="auto" w:sz="4" w:space="0"/>
              <w:bottom w:val="single" w:color="auto" w:sz="4" w:space="0"/>
              <w:right w:val="single" w:color="auto" w:sz="4" w:space="0"/>
            </w:tcBorders>
            <w:tcW w:w="675" w:type="dxa"/>
            <w:vAlign w:val="center"/>
            <w:textDirection w:val="lrTb"/>
            <w:noWrap/>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20</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核定为文物保护单位的属于国家所有的纪念建筑物或者古建筑改变用途审批</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　</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行政许可</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3"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天水市麦积区文体广电和旅游局</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文物股</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3685"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《中华人民共和国文物保护法》第二十一条：</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“……对文物保护单位进行修缮，应当根据文物保护单位的级别报相应的文物行政部门批准；对未核定为文物保护单位的不可移动文物进行修缮，应当报登记的县级人民政府文物行政部门批准……”；</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《文物保护工程管理办法》（文化部令第26号）第十条：</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“……全国重点文物保护单位保护工程，以省、自治区、直辖市文物行政部门为申报机关，国家文物局为审批机关。”</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1.受理阶段责任：公示依法应当提交的材料；一次性告知补正材料</w:t>
            </w:r>
            <w:r>
              <w:rPr>
                <w:rFonts w:hint="eastAsia" w:ascii="仿宋" w:hAnsi="仿宋" w:eastAsia="仿宋" w:cs="宋体"/>
                <w:color w:val="000000"/>
                <w:sz w:val="16"/>
                <w:szCs w:val="16"/>
              </w:rPr>
              <w:t xml:space="preserve">；依法受理或不予受理（不予受理应当告知理由）。                                                             2.审查阶段责任：对申请材料进行预审、提出预审意见。                                                                                 3.决定阶段责任：作出行政许可或者不予行政许可决定，法定告知（不予许可的应当书面告知理由）。                   </w:t>
            </w:r>
            <w:r>
              <w:rPr>
                <w:rFonts w:hint="eastAsia" w:ascii="仿宋" w:hAnsi="仿宋" w:eastAsia="仿宋" w:cs="宋体"/>
                <w:color w:val="000000"/>
                <w:sz w:val="16"/>
                <w:szCs w:val="16"/>
              </w:rPr>
              <w:t xml:space="preserve">                                                                 4.送达阶段责任：准予许可的制作许可证件（文件），送达并信息公开。                                                                     5.事后监管责任：开展定期和不定期检查，根据检查情况，依法采取相关处置措施。                                  6.其他法律法规规定应履行的责任。</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不履行或不正确履行行政职责，有下列情形的，行政机关及相应工作人员因承担相应责任：                                      </w:t>
            </w:r>
            <w:r>
              <w:rPr>
                <w:rFonts w:hint="eastAsia" w:ascii="仿宋" w:hAnsi="仿宋" w:eastAsia="仿宋" w:cs="宋体"/>
                <w:color w:val="000000"/>
                <w:sz w:val="16"/>
                <w:szCs w:val="16"/>
              </w:rPr>
              <w:t xml:space="preserve">                                               1.对符合法定条件的行政许可申请不予受理的；                                          2.对不符合法定条件的申请人准予行政许可或者超越法定职权作出准予行政许可决定的；                                   3.对符合法定条件的申请人不予行政许可或者不在法定期限内作出准予行政许可决定的；                              </w:t>
            </w:r>
            <w:r>
              <w:rPr>
                <w:rFonts w:hint="eastAsia" w:ascii="仿宋" w:hAnsi="仿宋" w:eastAsia="仿宋" w:cs="宋体"/>
                <w:color w:val="000000"/>
                <w:sz w:val="16"/>
                <w:szCs w:val="16"/>
              </w:rPr>
              <w:t xml:space="preserve">    4.不依法履行监管职责和监管不力，发生违法违规经营行为的；                                                                       5.违反法定程序实施行政许可的；                                6.违规审批、实施监督检查，索取或者收受他人财物或者谋取其他利益；                                                       7.其他违反法律法规规定的行为。</w:t>
            </w:r>
            <w:r>
              <w:rPr>
                <w:rFonts w:ascii="仿宋" w:hAnsi="仿宋" w:eastAsia="仿宋" w:cs="宋体"/>
                <w:color w:val="000000"/>
                <w:sz w:val="16"/>
                <w:szCs w:val="16"/>
              </w:rPr>
            </w:r>
          </w:p>
        </w:tc>
      </w:tr>
      <w:tr>
        <w:trPr>
          <w:trHeight w:val="8350"/>
        </w:trPr>
        <w:tc>
          <w:tcPr>
            <w:shd w:val="clear" w:color="auto" w:fill="auto"/>
            <w:tcBorders>
              <w:top w:val="none" w:color="000000" w:sz="4" w:space="0"/>
              <w:left w:val="single" w:color="auto" w:sz="4" w:space="0"/>
              <w:bottom w:val="single" w:color="auto" w:sz="4" w:space="0"/>
              <w:right w:val="single" w:color="auto" w:sz="4" w:space="0"/>
            </w:tcBorders>
            <w:tcW w:w="675" w:type="dxa"/>
            <w:vAlign w:val="center"/>
            <w:textDirection w:val="lrTb"/>
            <w:noWrap/>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21</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卫星电视广播地面接收设施安装服务许可</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　</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行政许可</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3"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天水市麦积区文体广电和旅游局</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广电股</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3685" w:type="dxa"/>
            <w:vAlign w:val="center"/>
            <w:textDirection w:val="lrTb"/>
            <w:noWrap w:val="false"/>
          </w:tcPr>
          <w:p>
            <w:pPr>
              <w:widowControl w:val="true"/>
              <w:pBdr/>
              <w:spacing/>
              <w:ind/>
              <w:jc w:val="left"/>
              <w:rPr>
                <w:rFonts w:ascii="仿宋" w:hAnsi="仿宋" w:eastAsia="仿宋" w:cs="宋体"/>
                <w:sz w:val="16"/>
                <w:szCs w:val="16"/>
              </w:rPr>
            </w:pPr>
            <w:r>
              <w:rPr>
                <w:rFonts w:hint="eastAsia" w:ascii="仿宋" w:hAnsi="仿宋" w:eastAsia="仿宋" w:cs="宋体"/>
                <w:sz w:val="16"/>
                <w:szCs w:val="16"/>
              </w:rPr>
              <w:t xml:space="preserve">1.《广播电视管理条例》（1997年8月11日国务院令第228号，2017年3月1日予以修改）第二十六条 安装和使用卫星广播电视地面接收设施，应当按照国家有关规定向省、自治区、直辖市人民政府广播电视行政部门申领许可证。</w:t>
            </w:r>
            <w:r>
              <w:rPr>
                <w:rFonts w:hint="eastAsia" w:ascii="仿宋" w:hAnsi="仿宋" w:eastAsia="仿宋" w:cs="宋体"/>
                <w:sz w:val="16"/>
                <w:szCs w:val="16"/>
              </w:rPr>
              <w:br/>
            </w:r>
            <w:r>
              <w:rPr>
                <w:rFonts w:hint="eastAsia" w:ascii="仿宋" w:hAnsi="仿宋" w:eastAsia="仿宋" w:cs="宋体"/>
                <w:sz w:val="16"/>
                <w:szCs w:val="16"/>
              </w:rPr>
              <w:t xml:space="preserve">2.《卫星电视广播地面接收设施安装服务暂行办法》（2009年8月6日广电总局令第60号,2015年8月28日予以修改）第七条 设立卫星地面接收设施安装服务机构，应当根据拟申请服务区的范围，向所在地县级以上人民政府广播电视行政部门提出申请，经逐级审核后，报省、自治区、直辖市以上人民政府广播电视行政部门审批。</w:t>
            </w:r>
            <w:r>
              <w:rPr>
                <w:rFonts w:ascii="仿宋" w:hAnsi="仿宋" w:eastAsia="仿宋" w:cs="宋体"/>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1.受理阶段责任：公示依法应当提交的材料；一次性告知补正材料</w:t>
            </w:r>
            <w:r>
              <w:rPr>
                <w:rFonts w:hint="eastAsia" w:ascii="仿宋" w:hAnsi="仿宋" w:eastAsia="仿宋" w:cs="宋体"/>
                <w:color w:val="000000"/>
                <w:sz w:val="16"/>
                <w:szCs w:val="16"/>
              </w:rPr>
              <w:t xml:space="preserve">；依法受理或不予受理（不予受理应当告知理由）。                                                             2.审查阶段责任：对申请材料进行预审、提出预审意见。                                                                                 3.决定阶段责任：作出行政许可或者不予行政许可决定，法定告知（不予许可的应当书面告知理由）。                   </w:t>
            </w:r>
            <w:r>
              <w:rPr>
                <w:rFonts w:hint="eastAsia" w:ascii="仿宋" w:hAnsi="仿宋" w:eastAsia="仿宋" w:cs="宋体"/>
                <w:color w:val="000000"/>
                <w:sz w:val="16"/>
                <w:szCs w:val="16"/>
              </w:rPr>
              <w:t xml:space="preserve">                                                                 4.送达阶段责任：准予许可的制作许可证件（文件），送达并信息公开。                                                                     5.事后监管责任：开展定期和不定期检查，根据检查情况，依法采取相关处置措施。                                  6.其他法律法规规定应履行的责任。</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不履行或不正确履行行政职责，有下列情形的，行政机关及相应工作人员因承担相应责任：                                      </w:t>
            </w:r>
            <w:r>
              <w:rPr>
                <w:rFonts w:hint="eastAsia" w:ascii="仿宋" w:hAnsi="仿宋" w:eastAsia="仿宋" w:cs="宋体"/>
                <w:color w:val="000000"/>
                <w:sz w:val="16"/>
                <w:szCs w:val="16"/>
              </w:rPr>
              <w:t xml:space="preserve">                                               1.对符合法定条件的行政许可申请不予受理的；                                          2.对不符合法定条件的申请人准予行政许可或者超越法定职权作出准予行政许可决定的；                                   3.对符合法定条件的申请人不予行政许可或者不在法定期限内作出准予行政许可决定的；                              </w:t>
            </w:r>
            <w:r>
              <w:rPr>
                <w:rFonts w:hint="eastAsia" w:ascii="仿宋" w:hAnsi="仿宋" w:eastAsia="仿宋" w:cs="宋体"/>
                <w:color w:val="000000"/>
                <w:sz w:val="16"/>
                <w:szCs w:val="16"/>
              </w:rPr>
              <w:t xml:space="preserve">    4.不依法履行监管职责和监管不力，发生违法违规经营行为的；                                                                       5.违反法定程序实施行政许可的；                                6.违规审批、实施监督检查，索取或者收受他人财物或者谋取其他利益；                                                       7.其他违反法律法规规定的行为。</w:t>
            </w:r>
            <w:r>
              <w:rPr>
                <w:rFonts w:ascii="仿宋" w:hAnsi="仿宋" w:eastAsia="仿宋" w:cs="宋体"/>
                <w:color w:val="000000"/>
                <w:sz w:val="16"/>
                <w:szCs w:val="16"/>
              </w:rPr>
            </w:r>
          </w:p>
        </w:tc>
      </w:tr>
      <w:tr>
        <w:trPr>
          <w:trHeight w:val="8350"/>
        </w:trPr>
        <w:tc>
          <w:tcPr>
            <w:shd w:val="clear" w:color="auto" w:fill="auto"/>
            <w:tcBorders>
              <w:top w:val="none" w:color="000000" w:sz="4" w:space="0"/>
              <w:left w:val="single" w:color="auto" w:sz="4" w:space="0"/>
              <w:bottom w:val="single" w:color="auto" w:sz="4" w:space="0"/>
              <w:right w:val="single" w:color="auto" w:sz="4" w:space="0"/>
            </w:tcBorders>
            <w:tcW w:w="675" w:type="dxa"/>
            <w:vAlign w:val="center"/>
            <w:textDirection w:val="lrTb"/>
            <w:noWrap/>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22</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博物馆处理不够入藏标准、无保存价值的文物或标本审批</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　</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行政许可</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3"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麦积区文体广电和旅游局</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文物股</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3685" w:type="dxa"/>
            <w:vAlign w:val="center"/>
            <w:textDirection w:val="lrTb"/>
            <w:noWrap w:val="false"/>
          </w:tcPr>
          <w:p>
            <w:pPr>
              <w:widowControl w:val="true"/>
              <w:pBdr/>
              <w:spacing/>
              <w:ind/>
              <w:jc w:val="left"/>
              <w:rPr>
                <w:rFonts w:ascii="仿宋" w:hAnsi="仿宋" w:eastAsia="仿宋" w:cs="宋体"/>
                <w:color w:val="333333"/>
                <w:sz w:val="16"/>
                <w:szCs w:val="16"/>
              </w:rPr>
            </w:pPr>
            <w:r>
              <w:rPr>
                <w:rFonts w:hint="eastAsia" w:ascii="仿宋" w:hAnsi="仿宋" w:eastAsia="仿宋" w:cs="宋体"/>
                <w:color w:val="333333"/>
                <w:sz w:val="16"/>
                <w:szCs w:val="16"/>
              </w:rPr>
              <w:t xml:space="preserve">《国务院对确需保留的行政审批项目设定行政许可的决定》（2004年6月29日国务院令第412号，2009年1月29日予以修改）附件第465项： 博物馆处理不够入藏标准、无保存价值的文物或标本审批（实施机关：县级以上人民政府文物行政主管部门）。</w:t>
            </w:r>
            <w:r>
              <w:rPr>
                <w:rFonts w:ascii="仿宋" w:hAnsi="仿宋" w:eastAsia="仿宋" w:cs="宋体"/>
                <w:color w:val="333333"/>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1.受理阶段责任：公示依法应当提交的材料；一次性告知补正材料；依法受理或不予受理（不予受理应告知理由）。</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2.2.审查阶段责任：对申请资料审核（包括：申请文件、建设工程的规划、设计方案；工程对文物可能产生破坏或影响的评估报告及为保护文物安全及历史、自然环境所采用的相关措施设计；涉及地下遗存的，应提供考古勘探发掘资料)。 </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3.决定阶段责任：组织专家提出意见，并报分管局长审批；</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4.符合条件的予以审批、不符合条件的将材料退回，并书面告知申请人。</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因不履行或不正确履行行政职责，有下列情形的，行政机关及相应工作人员应承担相应责任： 1.对符合法定条件的行政许可申请不予受理的； 2.对不符合法定条件的申请人准予行政许可或者超越法定职权作出准予行政许可决定的； 3.对符合法定条件的申请人不予行政许可或者不在法定期限内作出准予行政许可决定的； 4.不依法履行监管职责和监管不力，发生违法违规经营行为的； 5.违反法定程序实施行政许可的； 6.违规审批、实施监督检查，索取或者收受他人财物或者谋取其他利益； 43.其他违反法律法规规章规定的行为。</w:t>
            </w:r>
            <w:r>
              <w:rPr>
                <w:rFonts w:ascii="仿宋" w:hAnsi="仿宋" w:eastAsia="仿宋" w:cs="宋体"/>
                <w:color w:val="000000"/>
                <w:sz w:val="16"/>
                <w:szCs w:val="16"/>
              </w:rPr>
            </w:r>
          </w:p>
        </w:tc>
      </w:tr>
      <w:tr>
        <w:trPr>
          <w:trHeight w:val="2730"/>
        </w:trPr>
        <w:tc>
          <w:tcPr>
            <w:shd w:val="clear" w:color="auto" w:fill="auto"/>
            <w:tcBorders>
              <w:top w:val="none" w:color="000000" w:sz="4" w:space="0"/>
              <w:left w:val="single" w:color="auto" w:sz="4" w:space="0"/>
              <w:bottom w:val="single" w:color="auto" w:sz="4" w:space="0"/>
              <w:right w:val="single" w:color="auto" w:sz="4" w:space="0"/>
            </w:tcBorders>
            <w:tcW w:w="675" w:type="dxa"/>
            <w:vAlign w:val="center"/>
            <w:vMerge w:val="restart"/>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23</w:t>
            </w:r>
            <w:r>
              <w:rPr>
                <w:rFonts w:ascii="仿宋" w:hAnsi="仿宋" w:eastAsia="仿宋" w:cs="宋体"/>
                <w:color w:val="000000"/>
                <w:sz w:val="16"/>
                <w:szCs w:val="16"/>
              </w:rPr>
            </w:r>
          </w:p>
        </w:tc>
        <w:tc>
          <w:tcPr>
            <w:shd w:val="clear" w:color="auto" w:fill="auto"/>
            <w:tcBorders>
              <w:top w:val="none" w:color="000000" w:sz="4" w:space="0"/>
              <w:left w:val="single" w:color="auto" w:sz="4" w:space="0"/>
              <w:bottom w:val="none" w:color="000000" w:sz="4" w:space="0"/>
              <w:right w:val="single" w:color="auto" w:sz="4" w:space="0"/>
            </w:tcBorders>
            <w:tcW w:w="1418" w:type="dxa"/>
            <w:vAlign w:val="center"/>
            <w:vMerge w:val="restart"/>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文物的认定</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none" w:color="000000" w:sz="4" w:space="0"/>
              <w:right w:val="single" w:color="auto" w:sz="4" w:space="0"/>
            </w:tcBorders>
            <w:tcW w:w="992" w:type="dxa"/>
            <w:vAlign w:val="center"/>
            <w:vMerge w:val="restart"/>
            <w:textDirection w:val="lrTb"/>
            <w:noWrap w:val="false"/>
          </w:tcPr>
          <w:p>
            <w:pPr>
              <w:widowControl w:val="true"/>
              <w:pBdr/>
              <w:spacing/>
              <w:ind/>
              <w:jc w:val="center"/>
              <w:rPr>
                <w:rFonts w:ascii="仿宋" w:hAnsi="仿宋" w:eastAsia="仿宋" w:cs="宋体"/>
                <w:sz w:val="16"/>
                <w:szCs w:val="16"/>
              </w:rPr>
            </w:pPr>
            <w:r>
              <w:rPr>
                <w:rFonts w:hint="eastAsia" w:ascii="仿宋" w:hAnsi="仿宋" w:eastAsia="仿宋" w:cs="宋体"/>
                <w:sz w:val="16"/>
                <w:szCs w:val="16"/>
              </w:rPr>
              <w:t xml:space="preserve">　</w:t>
            </w:r>
            <w:r>
              <w:rPr>
                <w:rFonts w:ascii="仿宋" w:hAnsi="仿宋" w:eastAsia="仿宋" w:cs="宋体"/>
                <w:sz w:val="16"/>
                <w:szCs w:val="16"/>
              </w:rPr>
            </w:r>
          </w:p>
        </w:tc>
        <w:tc>
          <w:tcPr>
            <w:shd w:val="clear" w:color="auto" w:fill="auto"/>
            <w:tcBorders>
              <w:top w:val="none" w:color="000000" w:sz="4" w:space="0"/>
              <w:left w:val="single" w:color="auto" w:sz="4" w:space="0"/>
              <w:bottom w:val="none" w:color="000000" w:sz="4" w:space="0"/>
              <w:right w:val="single" w:color="auto" w:sz="4" w:space="0"/>
            </w:tcBorders>
            <w:tcW w:w="992" w:type="dxa"/>
            <w:vAlign w:val="center"/>
            <w:vMerge w:val="restart"/>
            <w:textDirection w:val="lrTb"/>
            <w:noWrap w:val="false"/>
          </w:tcPr>
          <w:p>
            <w:pPr>
              <w:widowControl w:val="true"/>
              <w:pBdr/>
              <w:spacing/>
              <w:ind/>
              <w:jc w:val="center"/>
              <w:rPr>
                <w:rFonts w:ascii="仿宋" w:hAnsi="仿宋" w:eastAsia="仿宋" w:cs="宋体"/>
                <w:sz w:val="16"/>
                <w:szCs w:val="16"/>
              </w:rPr>
            </w:pPr>
            <w:r>
              <w:rPr>
                <w:rFonts w:hint="eastAsia" w:ascii="仿宋" w:hAnsi="仿宋" w:eastAsia="仿宋" w:cs="宋体"/>
                <w:sz w:val="16"/>
                <w:szCs w:val="16"/>
              </w:rPr>
              <w:t xml:space="preserve">行政确认</w:t>
            </w:r>
            <w:r>
              <w:rPr>
                <w:rFonts w:ascii="仿宋" w:hAnsi="仿宋" w:eastAsia="仿宋" w:cs="宋体"/>
                <w:sz w:val="16"/>
                <w:szCs w:val="16"/>
              </w:rPr>
            </w:r>
          </w:p>
        </w:tc>
        <w:tc>
          <w:tcPr>
            <w:shd w:val="clear" w:color="auto" w:fill="auto"/>
            <w:tcBorders>
              <w:top w:val="none" w:color="000000" w:sz="4" w:space="0"/>
              <w:left w:val="single" w:color="auto" w:sz="4" w:space="0"/>
              <w:bottom w:val="none" w:color="000000" w:sz="4" w:space="0"/>
              <w:right w:val="single" w:color="auto" w:sz="4" w:space="0"/>
            </w:tcBorders>
            <w:tcW w:w="993" w:type="dxa"/>
            <w:vAlign w:val="center"/>
            <w:vMerge w:val="restart"/>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天水市麦积区文体广电和旅游局</w:t>
            </w:r>
            <w:r>
              <w:rPr>
                <w:rFonts w:ascii="仿宋" w:hAnsi="仿宋" w:eastAsia="仿宋" w:cs="宋体"/>
                <w:color w:val="000000"/>
                <w:sz w:val="16"/>
                <w:szCs w:val="16"/>
              </w:rPr>
            </w:r>
          </w:p>
        </w:tc>
        <w:tc>
          <w:tcPr>
            <w:shd w:val="clear" w:color="auto" w:fill="auto"/>
            <w:tcBorders>
              <w:top w:val="none" w:color="000000" w:sz="4" w:space="0"/>
              <w:left w:val="single" w:color="auto" w:sz="4" w:space="0"/>
              <w:bottom w:val="none" w:color="000000" w:sz="4" w:space="0"/>
              <w:right w:val="single" w:color="auto" w:sz="4" w:space="0"/>
            </w:tcBorders>
            <w:tcW w:w="992" w:type="dxa"/>
            <w:vAlign w:val="center"/>
            <w:vMerge w:val="restart"/>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政务服务管理股</w:t>
            </w:r>
            <w:r>
              <w:rPr>
                <w:rFonts w:ascii="仿宋" w:hAnsi="仿宋" w:eastAsia="仿宋" w:cs="宋体"/>
                <w:color w:val="000000"/>
                <w:sz w:val="16"/>
                <w:szCs w:val="16"/>
              </w:rPr>
            </w:r>
          </w:p>
        </w:tc>
        <w:tc>
          <w:tcPr>
            <w:shd w:val="clear" w:color="auto" w:fill="auto"/>
            <w:tcBorders>
              <w:top w:val="none" w:color="000000" w:sz="4" w:space="0"/>
              <w:left w:val="single" w:color="auto" w:sz="4" w:space="0"/>
              <w:bottom w:val="single" w:color="auto" w:sz="4" w:space="0"/>
              <w:right w:val="single" w:color="auto" w:sz="4" w:space="0"/>
            </w:tcBorders>
            <w:tcW w:w="3685" w:type="dxa"/>
            <w:vAlign w:val="center"/>
            <w:vMerge w:val="restart"/>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1.《中华人民共和国文物保护法》(2002年10</w:t>
            </w:r>
            <w:r>
              <w:rPr>
                <w:rFonts w:hint="eastAsia" w:ascii="仿宋" w:hAnsi="仿宋" w:eastAsia="仿宋" w:cs="宋体"/>
                <w:color w:val="000000"/>
                <w:sz w:val="16"/>
                <w:szCs w:val="16"/>
              </w:rPr>
              <w:t xml:space="preserve">月28日第九届全国人大常委会第三十次会议通过，2017年11月4日修正)第十三条  国务院文物行政部门在省级、市、县级文物保护单位中，选择具有重大历史、艺术、科学价值的确定为全国重点文物保护单位，或者直接确定为全国重点文物保护单位，报国务院核定公布。省级文物保护单位，由省、自治区、直辖市人民政府核定公布，并报国务院备案。市级和县级文物保护单位，分别由设区的市、自治州和县级人民政府核定公布，并报省、自治区、直辖市人民政府备案。尚未核定公布为文物保护单位的不可移动文物，由县级人民政府文物行政部门予以登记并公布。</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2.《文物认定管理暂行办法》（2009年文化部令）第三条 认定文物由县级以上地方文物行政部门负责。认定文物发生争议的，由省级文物行政部门作出裁定。省级文物行政部门应当根据国务院文物行政部门的要求，认定特定的文化资源为文物。”第七条  公民、法人和其他组织书面要求认定不可移动文物的，应当向县级以上地方文物行政部门提供其姓名或者名称、住所、有效身份证件号码或者有效证照号码。县级以上地方文物行政部门应当通过听证会等形式听取公众意见并</w:t>
            </w:r>
            <w:r>
              <w:rPr>
                <w:rFonts w:hint="eastAsia" w:ascii="仿宋" w:hAnsi="仿宋" w:eastAsia="仿宋" w:cs="宋体"/>
                <w:color w:val="000000"/>
                <w:sz w:val="16"/>
                <w:szCs w:val="16"/>
              </w:rPr>
              <w:t xml:space="preserve">作出决定予以答复；第八条  县级以上地方文物行政部门认定文物，应当开展调查研究，收集相关资料，充分听取专家意见，召集专门会议研究并作出书面决定。县级以上地方文物行政部门可以委托或设置专门机构开展认定文物的具体工作；第九条  不可移动文物的认定，自县级以上地方文物行政部门公告之日起生效。 第十二条  “公民、法人和其他组织，以及所有权人书面要求对不可移动文物进行定级的，应当向有关文物行政部门提供其姓名或者名称、住所、有效身份证件号码或者有效证照号码。有关文物行政部门应当通过听证会等形式听取公众意见并予以答复。</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none" w:color="000000" w:sz="4" w:space="0"/>
              <w:right w:val="single" w:color="auto" w:sz="4" w:space="0"/>
            </w:tcBorders>
            <w:tcW w:w="1843" w:type="dxa"/>
            <w:vAlign w:val="center"/>
            <w:vMerge w:val="restart"/>
            <w:textDirection w:val="lrTb"/>
            <w:noWrap w:val="false"/>
          </w:tcPr>
          <w:p>
            <w:pPr>
              <w:widowControl w:val="true"/>
              <w:pBdr/>
              <w:spacing/>
              <w:ind/>
              <w:jc w:val="center"/>
              <w:rPr>
                <w:rFonts w:ascii="仿宋" w:hAnsi="仿宋" w:eastAsia="仿宋" w:cs="宋体"/>
                <w:sz w:val="16"/>
                <w:szCs w:val="16"/>
              </w:rPr>
            </w:pPr>
            <w:r>
              <w:rPr>
                <w:rFonts w:hint="eastAsia" w:ascii="仿宋" w:hAnsi="仿宋" w:eastAsia="仿宋" w:cs="宋体"/>
                <w:sz w:val="16"/>
                <w:szCs w:val="16"/>
              </w:rPr>
              <w:t xml:space="preserve">1.受理阶段责任：公示依法应当提交的材料，一次性告知补正材料；依法确认或不予确认（不予确认应当告知理由）；涉及行政复议的初步审核复议申请材料。</w:t>
            </w:r>
            <w:r>
              <w:rPr>
                <w:rFonts w:hint="eastAsia" w:ascii="仿宋" w:hAnsi="仿宋" w:eastAsia="仿宋" w:cs="宋体"/>
                <w:sz w:val="16"/>
                <w:szCs w:val="16"/>
              </w:rPr>
              <w:br/>
            </w:r>
            <w:r>
              <w:rPr>
                <w:rFonts w:hint="eastAsia" w:ascii="仿宋" w:hAnsi="仿宋" w:eastAsia="仿宋" w:cs="宋体"/>
                <w:sz w:val="16"/>
                <w:szCs w:val="16"/>
              </w:rPr>
              <w:t xml:space="preserve">2.审查和决定阶段责任：按照程序，对申请材料进行审核，提出预审意见。</w:t>
            </w:r>
            <w:r>
              <w:rPr>
                <w:rFonts w:hint="eastAsia" w:ascii="仿宋" w:hAnsi="仿宋" w:eastAsia="仿宋" w:cs="宋体"/>
                <w:sz w:val="16"/>
                <w:szCs w:val="16"/>
              </w:rPr>
              <w:br/>
            </w:r>
            <w:r>
              <w:rPr>
                <w:rFonts w:hint="eastAsia" w:ascii="仿宋" w:hAnsi="仿宋" w:eastAsia="仿宋" w:cs="宋体"/>
                <w:sz w:val="16"/>
                <w:szCs w:val="16"/>
              </w:rPr>
              <w:t xml:space="preserve">3.送达阶段责任：制发送达项目确认书，信息公开。涉及行政复议的制作行政复议决定书，并加盖印章，在规定时间内送达申请人和被申请人。</w:t>
            </w:r>
            <w:r>
              <w:rPr>
                <w:rFonts w:hint="eastAsia" w:ascii="仿宋" w:hAnsi="仿宋" w:eastAsia="仿宋" w:cs="宋体"/>
                <w:sz w:val="16"/>
                <w:szCs w:val="16"/>
              </w:rPr>
              <w:br/>
            </w:r>
            <w:r>
              <w:rPr>
                <w:rFonts w:hint="eastAsia" w:ascii="仿宋" w:hAnsi="仿宋" w:eastAsia="仿宋" w:cs="宋体"/>
                <w:sz w:val="16"/>
                <w:szCs w:val="16"/>
              </w:rPr>
              <w:t xml:space="preserve">4.事后监管责任：加强监管、防止弄虚作假。</w:t>
            </w:r>
            <w:r>
              <w:rPr>
                <w:rFonts w:ascii="仿宋" w:hAnsi="仿宋" w:eastAsia="仿宋" w:cs="宋体"/>
                <w:sz w:val="16"/>
                <w:szCs w:val="16"/>
              </w:rPr>
            </w:r>
          </w:p>
        </w:tc>
        <w:tc>
          <w:tcPr>
            <w:shd w:val="clear" w:color="auto" w:fill="auto"/>
            <w:tcBorders>
              <w:top w:val="none" w:color="000000" w:sz="4" w:space="0"/>
              <w:left w:val="single" w:color="auto" w:sz="4" w:space="0"/>
              <w:bottom w:val="none" w:color="000000" w:sz="4" w:space="0"/>
              <w:right w:val="single" w:color="auto" w:sz="4" w:space="0"/>
            </w:tcBorders>
            <w:tcW w:w="1701" w:type="dxa"/>
            <w:vAlign w:val="center"/>
            <w:vMerge w:val="restart"/>
            <w:textDirection w:val="lrTb"/>
            <w:noWrap w:val="false"/>
          </w:tcPr>
          <w:p>
            <w:pPr>
              <w:widowControl w:val="true"/>
              <w:pBdr/>
              <w:spacing/>
              <w:ind/>
              <w:jc w:val="center"/>
              <w:rPr>
                <w:rFonts w:ascii="仿宋" w:hAnsi="仿宋" w:eastAsia="仿宋" w:cs="宋体"/>
                <w:sz w:val="16"/>
                <w:szCs w:val="16"/>
              </w:rPr>
            </w:pPr>
            <w:r>
              <w:rPr>
                <w:rFonts w:hint="eastAsia" w:ascii="仿宋" w:hAnsi="仿宋" w:eastAsia="仿宋" w:cs="宋体"/>
                <w:sz w:val="16"/>
                <w:szCs w:val="16"/>
              </w:rPr>
              <w:t xml:space="preserve">因不履行或不正确履行行政职责，有下列情形的，行政机关及相关工作人员应承担相应责任：</w:t>
            </w:r>
            <w:r>
              <w:rPr>
                <w:rFonts w:hint="eastAsia" w:ascii="仿宋" w:hAnsi="仿宋" w:eastAsia="仿宋" w:cs="宋体"/>
                <w:sz w:val="16"/>
                <w:szCs w:val="16"/>
              </w:rPr>
              <w:br/>
            </w:r>
            <w:r>
              <w:rPr>
                <w:rFonts w:hint="eastAsia" w:ascii="仿宋" w:hAnsi="仿宋" w:eastAsia="仿宋" w:cs="宋体"/>
                <w:sz w:val="16"/>
                <w:szCs w:val="16"/>
              </w:rPr>
              <w:t xml:space="preserve">1.对符合受理条件的行政确认申请不予受理的；</w:t>
            </w:r>
            <w:r>
              <w:rPr>
                <w:rFonts w:hint="eastAsia" w:ascii="仿宋" w:hAnsi="仿宋" w:eastAsia="仿宋" w:cs="宋体"/>
                <w:sz w:val="16"/>
                <w:szCs w:val="16"/>
              </w:rPr>
              <w:br/>
            </w:r>
            <w:r>
              <w:rPr>
                <w:rFonts w:hint="eastAsia" w:ascii="仿宋" w:hAnsi="仿宋" w:eastAsia="仿宋" w:cs="宋体"/>
                <w:sz w:val="16"/>
                <w:szCs w:val="16"/>
              </w:rPr>
              <w:t xml:space="preserve">2.对符合法定受理条件的行政复议申请不予受理的，或对不符合法定受理条件的行政复议申请予以受理的；</w:t>
            </w:r>
            <w:r>
              <w:rPr>
                <w:rFonts w:hint="eastAsia" w:ascii="仿宋" w:hAnsi="仿宋" w:eastAsia="仿宋" w:cs="宋体"/>
                <w:sz w:val="16"/>
                <w:szCs w:val="16"/>
              </w:rPr>
              <w:br/>
            </w:r>
            <w:r>
              <w:rPr>
                <w:rFonts w:hint="eastAsia" w:ascii="仿宋" w:hAnsi="仿宋" w:eastAsia="仿宋" w:cs="宋体"/>
                <w:sz w:val="16"/>
                <w:szCs w:val="16"/>
              </w:rPr>
              <w:t xml:space="preserve">3.未严格按照相关政策、法律、法规履行审查义务，对应当予以确认的不予确认，或者对不应确认的予以确认；</w:t>
            </w:r>
            <w:r>
              <w:rPr>
                <w:rFonts w:hint="eastAsia" w:ascii="仿宋" w:hAnsi="仿宋" w:eastAsia="仿宋" w:cs="宋体"/>
                <w:sz w:val="16"/>
                <w:szCs w:val="16"/>
              </w:rPr>
              <w:br/>
            </w:r>
            <w:r>
              <w:rPr>
                <w:rFonts w:hint="eastAsia" w:ascii="仿宋" w:hAnsi="仿宋" w:eastAsia="仿宋" w:cs="宋体"/>
                <w:sz w:val="16"/>
                <w:szCs w:val="16"/>
              </w:rPr>
              <w:t xml:space="preserve">4.没有在法律规定的期限内作出行政复议决定的；</w:t>
            </w:r>
            <w:r>
              <w:rPr>
                <w:rFonts w:hint="eastAsia" w:ascii="仿宋" w:hAnsi="仿宋" w:eastAsia="仿宋" w:cs="宋体"/>
                <w:sz w:val="16"/>
                <w:szCs w:val="16"/>
              </w:rPr>
              <w:br/>
            </w:r>
            <w:r>
              <w:rPr>
                <w:rFonts w:hint="eastAsia" w:ascii="仿宋" w:hAnsi="仿宋" w:eastAsia="仿宋" w:cs="宋体"/>
                <w:sz w:val="16"/>
                <w:szCs w:val="16"/>
              </w:rPr>
              <w:t xml:space="preserve">5.行政复议决定书没有在法律规定的期限内送达申请人和被申请人，造成严重后果的；</w:t>
            </w:r>
            <w:r>
              <w:rPr>
                <w:rFonts w:hint="eastAsia" w:ascii="仿宋" w:hAnsi="仿宋" w:eastAsia="仿宋" w:cs="宋体"/>
                <w:sz w:val="16"/>
                <w:szCs w:val="16"/>
              </w:rPr>
              <w:br/>
            </w:r>
            <w:r>
              <w:rPr>
                <w:rFonts w:hint="eastAsia" w:ascii="仿宋" w:hAnsi="仿宋" w:eastAsia="仿宋" w:cs="宋体"/>
                <w:sz w:val="16"/>
                <w:szCs w:val="16"/>
              </w:rPr>
              <w:t xml:space="preserve">6.在文物资源确认过程中发生腐败行为的；</w:t>
            </w:r>
            <w:r>
              <w:rPr>
                <w:rFonts w:ascii="仿宋" w:hAnsi="仿宋" w:eastAsia="仿宋" w:cs="宋体"/>
                <w:sz w:val="16"/>
                <w:szCs w:val="16"/>
              </w:rPr>
            </w:r>
          </w:p>
        </w:tc>
      </w:tr>
      <w:tr>
        <w:trPr>
          <w:trHeight w:val="8208"/>
        </w:trPr>
        <w:tc>
          <w:tcPr>
            <w:shd w:val="clear" w:color="auto" w:fill="auto"/>
            <w:tcBorders>
              <w:top w:val="none" w:color="000000" w:sz="4" w:space="0"/>
              <w:left w:val="single" w:color="auto" w:sz="4" w:space="0"/>
              <w:bottom w:val="single" w:color="auto" w:sz="4" w:space="0"/>
              <w:right w:val="single" w:color="auto" w:sz="4" w:space="0"/>
            </w:tcBorders>
            <w:tcW w:w="675"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24</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对非物质文化遗产代表性项目的组织推荐评审认定</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left"/>
              <w:rPr>
                <w:rFonts w:ascii="仿宋" w:hAnsi="仿宋" w:eastAsia="仿宋" w:cs="宋体"/>
                <w:sz w:val="16"/>
                <w:szCs w:val="16"/>
              </w:rPr>
            </w:pPr>
            <w:r>
              <w:rPr>
                <w:rFonts w:hint="eastAsia" w:ascii="仿宋" w:hAnsi="仿宋" w:eastAsia="仿宋" w:cs="宋体"/>
                <w:sz w:val="16"/>
                <w:szCs w:val="16"/>
              </w:rPr>
              <w:t xml:space="preserve">　</w:t>
            </w:r>
            <w:r>
              <w:rPr>
                <w:rFonts w:ascii="仿宋" w:hAnsi="仿宋" w:eastAsia="仿宋" w:cs="宋体"/>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center"/>
              <w:rPr>
                <w:rFonts w:ascii="仿宋" w:hAnsi="仿宋" w:eastAsia="仿宋" w:cs="宋体"/>
                <w:sz w:val="16"/>
                <w:szCs w:val="16"/>
              </w:rPr>
            </w:pPr>
            <w:r>
              <w:rPr>
                <w:rFonts w:hint="eastAsia" w:ascii="仿宋" w:hAnsi="仿宋" w:eastAsia="仿宋" w:cs="宋体"/>
                <w:sz w:val="16"/>
                <w:szCs w:val="16"/>
              </w:rPr>
              <w:t xml:space="preserve">行政确认</w:t>
            </w:r>
            <w:r>
              <w:rPr>
                <w:rFonts w:ascii="仿宋" w:hAnsi="仿宋" w:eastAsia="仿宋" w:cs="宋体"/>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3"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天水市麦积区文体广电和旅游局</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政务服务管理股</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3685"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中华人民共和国非物质文化遗产法》第十九条：“省、自治区、直辖市人民政府可以从本省、自治区、直辖市非物质文化遗产代表性项目名录中向国务院文化主管部门推荐列入国家级非物质文化遗产代表性项目名录的项目。”第二十二条：“国务院文化主管部门应当组织专家评审小组和专家评审委员会，对推荐或者建议列入国家非物质文化遗产代表性项目名录的非物质文化遗产项目进行初评和审议。”第二十四条：“国务院文化主管部门根据专家评审委员会的审议意见和公示结果，拟订国家级非物质文化遗产代表性项目名录，报国务院批准、公布。”</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widowControl w:val="true"/>
              <w:pBdr/>
              <w:spacing/>
              <w:ind/>
              <w:jc w:val="left"/>
              <w:rPr>
                <w:rFonts w:ascii="仿宋" w:hAnsi="仿宋" w:eastAsia="仿宋" w:cs="宋体"/>
                <w:sz w:val="16"/>
                <w:szCs w:val="16"/>
              </w:rPr>
            </w:pPr>
            <w:r>
              <w:rPr>
                <w:rFonts w:hint="eastAsia" w:ascii="仿宋" w:hAnsi="仿宋" w:eastAsia="仿宋" w:cs="宋体"/>
                <w:sz w:val="16"/>
                <w:szCs w:val="16"/>
              </w:rPr>
              <w:t xml:space="preserve">1.受理阶段责任：公示依法应当提交的材料；一次性告知补正材料；依法受理或不予受理（不予受理应当告知理由）。 2.审查阶段责任：对申请材料进行预审、提出预审意见；对经营场所、营业设施、设备进行现场检查。 3.决定阶段责任：作出行政许可或者不予行政许可决定，法定告知（不予许可的应当书面告知理由）。 4.送达阶段责任：准予许可的制作许可证件，送达并信息公开。 5.事后监管责任：开展定期和不定期检查，根据检查情况，依法采取相关处置措施。</w:t>
            </w:r>
            <w:r>
              <w:rPr>
                <w:rFonts w:ascii="仿宋" w:hAnsi="仿宋" w:eastAsia="仿宋" w:cs="宋体"/>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pPr>
              <w:widowControl w:val="true"/>
              <w:pBdr/>
              <w:spacing/>
              <w:ind/>
              <w:jc w:val="left"/>
              <w:rPr>
                <w:rFonts w:ascii="仿宋" w:hAnsi="仿宋" w:eastAsia="仿宋" w:cs="宋体"/>
                <w:sz w:val="16"/>
                <w:szCs w:val="16"/>
              </w:rPr>
            </w:pPr>
            <w:r>
              <w:rPr>
                <w:rFonts w:hint="eastAsia" w:ascii="仿宋" w:hAnsi="仿宋" w:eastAsia="仿宋" w:cs="宋体"/>
                <w:sz w:val="16"/>
                <w:szCs w:val="16"/>
              </w:rPr>
              <w:t xml:space="preserve">因不履行或不正确履行行政职责，有下列情形的，行政机关及相应工作人员应承担相应责任： 1.对符合法定条件的行政许可申请不予受理的； 2.对不符合法定条件的申请人准予行政许可或者超越法定职权作出准予行政许可决定的； 3.对符合法定条件的申请人不予行政许可或者不在法定期限内作出准予行政许可决定的； 4.不依法履行监管职责和监管不力，发生违法违规经营行为的； 5.违反法定程序实施行政许可的； 6.违规审批、实施监督检查，索取或者收受他人财物或者谋取其他利益；</w:t>
            </w:r>
            <w:r>
              <w:rPr>
                <w:rFonts w:ascii="仿宋" w:hAnsi="仿宋" w:eastAsia="仿宋" w:cs="宋体"/>
                <w:sz w:val="16"/>
                <w:szCs w:val="16"/>
              </w:rPr>
            </w:r>
          </w:p>
        </w:tc>
      </w:tr>
      <w:tr>
        <w:trPr>
          <w:trHeight w:val="8066"/>
        </w:trPr>
        <w:tc>
          <w:tcPr>
            <w:shd w:val="clear" w:color="auto" w:fill="auto"/>
            <w:tcBorders>
              <w:top w:val="none" w:color="000000" w:sz="4" w:space="0"/>
              <w:left w:val="single" w:color="auto" w:sz="4" w:space="0"/>
              <w:bottom w:val="single" w:color="auto" w:sz="4" w:space="0"/>
              <w:right w:val="single" w:color="auto" w:sz="4" w:space="0"/>
            </w:tcBorders>
            <w:tcW w:w="675"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25</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对非物质文化遗产代表性传承人的组织推荐评审认定</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left"/>
              <w:rPr>
                <w:rFonts w:ascii="仿宋" w:hAnsi="仿宋" w:eastAsia="仿宋" w:cs="宋体"/>
                <w:sz w:val="16"/>
                <w:szCs w:val="16"/>
              </w:rPr>
            </w:pPr>
            <w:r>
              <w:rPr>
                <w:rFonts w:hint="eastAsia" w:ascii="仿宋" w:hAnsi="仿宋" w:eastAsia="仿宋" w:cs="宋体"/>
                <w:sz w:val="16"/>
                <w:szCs w:val="16"/>
              </w:rPr>
              <w:t xml:space="preserve">　</w:t>
            </w:r>
            <w:r>
              <w:rPr>
                <w:rFonts w:ascii="仿宋" w:hAnsi="仿宋" w:eastAsia="仿宋" w:cs="宋体"/>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center"/>
              <w:rPr>
                <w:rFonts w:ascii="仿宋" w:hAnsi="仿宋" w:eastAsia="仿宋" w:cs="宋体"/>
                <w:sz w:val="16"/>
                <w:szCs w:val="16"/>
              </w:rPr>
            </w:pPr>
            <w:r>
              <w:rPr>
                <w:rFonts w:hint="eastAsia" w:ascii="仿宋" w:hAnsi="仿宋" w:eastAsia="仿宋" w:cs="宋体"/>
                <w:sz w:val="16"/>
                <w:szCs w:val="16"/>
              </w:rPr>
              <w:t xml:space="preserve">行政确认</w:t>
            </w:r>
            <w:r>
              <w:rPr>
                <w:rFonts w:ascii="仿宋" w:hAnsi="仿宋" w:eastAsia="仿宋" w:cs="宋体"/>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3"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天水市麦积区文体广电和旅游局</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政务服务管理股</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3685"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1.《中华人民共和国非物质文化遗产法》第二十九条：“国务院文化主管部门和省、自治区、直辖市人民政府文化主管部门对本</w:t>
            </w:r>
            <w:r>
              <w:rPr>
                <w:rFonts w:hint="eastAsia" w:ascii="仿宋" w:hAnsi="仿宋" w:eastAsia="仿宋" w:cs="宋体"/>
                <w:color w:val="000000"/>
                <w:sz w:val="16"/>
                <w:szCs w:val="16"/>
              </w:rPr>
              <w:t xml:space="preserve">级人民政府批准公布的非物质文化遗产代表性项目，可以认定代表性传承人。”2.《国家级非物质文化遗产项目代表性传承人认定与管理暂行办法》第六条：“文化行政部门接到申请材料或推荐材料后，应当组织专家进行审核并逐级上报。省级文化行政部门收到上述材料后，应当组织省级非物质文化遗产专家委员会进行评审，结合该项目在本行政区域内的分布情况，提出推荐名单和审核意见，连同原始申报材料和专家评审意见一并报送国务院文化行政部门。”第十条：“国务院文化行政部门根据公示结果，审定国家级非物质文化遗产项目代表性传承人名单，并予以公布。”</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widowControl w:val="true"/>
              <w:pBdr/>
              <w:spacing/>
              <w:ind/>
              <w:jc w:val="left"/>
              <w:rPr>
                <w:rFonts w:ascii="仿宋" w:hAnsi="仿宋" w:eastAsia="仿宋" w:cs="宋体"/>
                <w:sz w:val="16"/>
                <w:szCs w:val="16"/>
              </w:rPr>
            </w:pPr>
            <w:r>
              <w:rPr>
                <w:rFonts w:hint="eastAsia" w:ascii="仿宋" w:hAnsi="仿宋" w:eastAsia="仿宋" w:cs="宋体"/>
                <w:sz w:val="16"/>
                <w:szCs w:val="16"/>
              </w:rPr>
              <w:t xml:space="preserve">1.受理阶段责任：公示依法应当提交的材料；一次性告知补正材料；依法受理或不予受理（不予受理应当告知理由）。 2.审查阶段责任：对申请材料进行预审、提出预审意见；对经营场所、营业设施、设备进行现场检查。 3.决定阶段责任：作出行政许可或者不予行政许可决定，法定告知（不予许可的应当书面告知理由）。 4.送达阶段责任：准予许可的制作许可证件，送达并信息公开。 5.事后监管责任：开展定期和不定期检查，根据检查情况，依法采取相关处置措施。</w:t>
            </w:r>
            <w:r>
              <w:rPr>
                <w:rFonts w:ascii="仿宋" w:hAnsi="仿宋" w:eastAsia="仿宋" w:cs="宋体"/>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pPr>
              <w:widowControl w:val="true"/>
              <w:pBdr/>
              <w:spacing/>
              <w:ind/>
              <w:jc w:val="left"/>
              <w:rPr>
                <w:rFonts w:ascii="仿宋" w:hAnsi="仿宋" w:eastAsia="仿宋" w:cs="宋体"/>
                <w:sz w:val="16"/>
                <w:szCs w:val="16"/>
              </w:rPr>
            </w:pPr>
            <w:r>
              <w:rPr>
                <w:rFonts w:hint="eastAsia" w:ascii="仿宋" w:hAnsi="仿宋" w:eastAsia="仿宋" w:cs="宋体"/>
                <w:sz w:val="16"/>
                <w:szCs w:val="16"/>
              </w:rPr>
              <w:t xml:space="preserve">因不履行或不正确履行行政职责，有下列情形的，行政机关及相应工作人员应承担相应责任： 1.对符合法定条件的行政许可申请不予受理的； 2.对不符合法定条件的申请人准予行政许可或者超越法定职权作出准予行政许可决定的； 3.对符合法定条件的申请人不予行政许可或者不在法定期限内作出准予行政许可决定的； 4.不依法履行监管职责和监管不力，发生违法违规经营行为的； 5.违反法定程序实施行政许可的； 6.违规审批、实施监督检查，索取或者收受他人财物或者谋取其他利益；</w:t>
            </w:r>
            <w:r>
              <w:rPr>
                <w:rFonts w:ascii="仿宋" w:hAnsi="仿宋" w:eastAsia="仿宋" w:cs="宋体"/>
                <w:sz w:val="16"/>
                <w:szCs w:val="16"/>
              </w:rPr>
            </w:r>
          </w:p>
        </w:tc>
      </w:tr>
      <w:tr>
        <w:trPr>
          <w:trHeight w:val="8208"/>
        </w:trPr>
        <w:tc>
          <w:tcPr>
            <w:shd w:val="clear" w:color="auto" w:fill="auto"/>
            <w:tcBorders>
              <w:top w:val="none" w:color="000000" w:sz="4" w:space="0"/>
              <w:left w:val="single" w:color="auto" w:sz="4" w:space="0"/>
              <w:bottom w:val="single" w:color="auto" w:sz="4" w:space="0"/>
              <w:right w:val="single" w:color="auto" w:sz="4" w:space="0"/>
            </w:tcBorders>
            <w:tcW w:w="675"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26</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社会体育指导员等级称号认定</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三级社会体育指导员等级称号认定</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行政确认</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3"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天水市麦积区文体广电和旅游局</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政务服务管理股</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3685"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《社会体育指导员管理办法》（国家体育总局令第16号。）第十四条 各级体育主管部门或经批准的协会按照社会体育指导员技术等级标准，批准授予相应等级社会体育指导员称号：（一）县级体育主管部门批准授予三级社会体育指导员技术等级称号；（二）地（市）级体育主管部门或经批准的省级协会批准授予二级社会体育指导员技术等级称号；（三）省级体育主管部门或经批准的全国性协会批准授予一级社会体育指导员技术等级称号；（四）国家体育总局批准授予国家级社会体育指导员技术等级称号。</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1.受理阶段责任：对开展志愿服务并符合条件的二级体育指导员申请技术等级进行受理；公示依法应当提交的材料；一次性告知补正材料；依法受理或不受理（不予受理应告知理由）;</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2.审查阶段责任：对所提供的申请材料按照规定进行审核，材料不符合规定的，应当说明理由;</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3.决定阶段责任：将审核合格的拟授予技术等级称号人员的姓名、性别、健身指导项目、单位等信息在官方网站进行公示，公示期为7天。公示期满无异议的，以文件形式批准授予技术等级称号;</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4.送达阶段责任：授予技术等级的人员注册信息在国家体育总局社会体育指导员管理系统进行录入。颁发证书、证章;</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5.事后监督责任：对获得技术等级的人员定期进行检查、指导和培训等;</w:t>
            </w:r>
            <w:r>
              <w:rPr>
                <w:rFonts w:hint="eastAsia" w:ascii="仿宋" w:hAnsi="仿宋" w:eastAsia="仿宋" w:cs="宋体"/>
                <w:color w:val="000000"/>
                <w:sz w:val="16"/>
                <w:szCs w:val="16"/>
              </w:rPr>
              <w:br/>
            </w:r>
            <w:r>
              <w:rPr>
                <w:rFonts w:hint="eastAsia" w:ascii="宋体" w:hAnsi="宋体" w:eastAsia="宋体" w:cs="宋体"/>
                <w:color w:val="000000"/>
                <w:sz w:val="16"/>
                <w:szCs w:val="16"/>
              </w:rPr>
              <w:t xml:space="preserve"> </w:t>
            </w:r>
            <w:r>
              <w:rPr>
                <w:rFonts w:hint="eastAsia" w:ascii="仿宋" w:hAnsi="仿宋" w:eastAsia="仿宋" w:cs="宋体"/>
                <w:color w:val="000000"/>
                <w:sz w:val="16"/>
                <w:szCs w:val="16"/>
              </w:rPr>
              <w:t xml:space="preserve"> </w:t>
            </w:r>
            <w:r>
              <w:rPr>
                <w:rFonts w:hint="eastAsia" w:ascii="宋体" w:hAnsi="宋体" w:eastAsia="宋体" w:cs="宋体"/>
                <w:color w:val="000000"/>
                <w:sz w:val="16"/>
                <w:szCs w:val="16"/>
              </w:rPr>
              <w:t xml:space="preserve"> </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pPr>
              <w:widowControl w:val="true"/>
              <w:pBdr/>
              <w:spacing/>
              <w:ind/>
              <w:jc w:val="left"/>
              <w:rPr>
                <w:rFonts w:ascii="仿宋" w:hAnsi="仿宋" w:eastAsia="仿宋" w:cs="宋体"/>
                <w:sz w:val="16"/>
                <w:szCs w:val="16"/>
              </w:rPr>
            </w:pPr>
            <w:r>
              <w:rPr>
                <w:rFonts w:hint="eastAsia" w:ascii="仿宋" w:hAnsi="仿宋" w:eastAsia="仿宋" w:cs="宋体"/>
                <w:sz w:val="16"/>
                <w:szCs w:val="16"/>
              </w:rPr>
              <w:t xml:space="preserve">因不履行或不正确履行行政职责，有下列情形的，行政机关及相关工作人员应承担相应责任：</w:t>
            </w:r>
            <w:r>
              <w:rPr>
                <w:rFonts w:hint="eastAsia" w:ascii="仿宋" w:hAnsi="仿宋" w:eastAsia="仿宋" w:cs="宋体"/>
                <w:sz w:val="16"/>
                <w:szCs w:val="16"/>
              </w:rPr>
              <w:br/>
            </w:r>
            <w:r>
              <w:rPr>
                <w:rFonts w:hint="eastAsia" w:ascii="仿宋" w:hAnsi="仿宋" w:eastAsia="仿宋" w:cs="宋体"/>
                <w:sz w:val="16"/>
                <w:szCs w:val="16"/>
              </w:rPr>
              <w:t xml:space="preserve">1.对符合受理条件的行政确认申请不予受理的；</w:t>
            </w:r>
            <w:r>
              <w:rPr>
                <w:rFonts w:hint="eastAsia" w:ascii="仿宋" w:hAnsi="仿宋" w:eastAsia="仿宋" w:cs="宋体"/>
                <w:sz w:val="16"/>
                <w:szCs w:val="16"/>
              </w:rPr>
              <w:br/>
            </w:r>
            <w:r>
              <w:rPr>
                <w:rFonts w:hint="eastAsia" w:ascii="仿宋" w:hAnsi="仿宋" w:eastAsia="仿宋" w:cs="宋体"/>
                <w:sz w:val="16"/>
                <w:szCs w:val="16"/>
              </w:rPr>
              <w:t xml:space="preserve">2.对符合法定受理条件的行政复议申请不予受理的，或对不符合法定受理条件的行政复议申请予以受理的；</w:t>
            </w:r>
            <w:r>
              <w:rPr>
                <w:rFonts w:hint="eastAsia" w:ascii="仿宋" w:hAnsi="仿宋" w:eastAsia="仿宋" w:cs="宋体"/>
                <w:sz w:val="16"/>
                <w:szCs w:val="16"/>
              </w:rPr>
              <w:br/>
            </w:r>
            <w:r>
              <w:rPr>
                <w:rFonts w:hint="eastAsia" w:ascii="仿宋" w:hAnsi="仿宋" w:eastAsia="仿宋" w:cs="宋体"/>
                <w:sz w:val="16"/>
                <w:szCs w:val="16"/>
              </w:rPr>
              <w:t xml:space="preserve">3.未严格按照相关政策、法律、法规履行审查义务，对应当予以确认的不予确认，或者对不应确认的予以确认；</w:t>
            </w:r>
            <w:r>
              <w:rPr>
                <w:rFonts w:hint="eastAsia" w:ascii="仿宋" w:hAnsi="仿宋" w:eastAsia="仿宋" w:cs="宋体"/>
                <w:sz w:val="16"/>
                <w:szCs w:val="16"/>
              </w:rPr>
              <w:br/>
            </w:r>
            <w:r>
              <w:rPr>
                <w:rFonts w:hint="eastAsia" w:ascii="仿宋" w:hAnsi="仿宋" w:eastAsia="仿宋" w:cs="宋体"/>
                <w:sz w:val="16"/>
                <w:szCs w:val="16"/>
              </w:rPr>
              <w:t xml:space="preserve">4.没有在法律规定的期限内作出行政复议决定的；</w:t>
            </w:r>
            <w:r>
              <w:rPr>
                <w:rFonts w:hint="eastAsia" w:ascii="仿宋" w:hAnsi="仿宋" w:eastAsia="仿宋" w:cs="宋体"/>
                <w:sz w:val="16"/>
                <w:szCs w:val="16"/>
              </w:rPr>
              <w:br/>
            </w:r>
            <w:r>
              <w:rPr>
                <w:rFonts w:hint="eastAsia" w:ascii="仿宋" w:hAnsi="仿宋" w:eastAsia="仿宋" w:cs="宋体"/>
                <w:sz w:val="16"/>
                <w:szCs w:val="16"/>
              </w:rPr>
              <w:t xml:space="preserve">5.行政复议决定书没有在法律规定的期限内送达申请人和被申请人，造成严重后果的；</w:t>
            </w:r>
            <w:r>
              <w:rPr>
                <w:rFonts w:hint="eastAsia" w:ascii="仿宋" w:hAnsi="仿宋" w:eastAsia="仿宋" w:cs="宋体"/>
                <w:sz w:val="16"/>
                <w:szCs w:val="16"/>
              </w:rPr>
              <w:br/>
            </w:r>
            <w:r>
              <w:rPr>
                <w:rFonts w:hint="eastAsia" w:ascii="仿宋" w:hAnsi="仿宋" w:eastAsia="仿宋" w:cs="宋体"/>
                <w:sz w:val="16"/>
                <w:szCs w:val="16"/>
              </w:rPr>
              <w:t xml:space="preserve">6.在文物资源确认过程中发生腐败行为的；</w:t>
            </w:r>
            <w:r>
              <w:rPr>
                <w:rFonts w:ascii="仿宋" w:hAnsi="仿宋" w:eastAsia="仿宋" w:cs="宋体"/>
                <w:sz w:val="16"/>
                <w:szCs w:val="16"/>
              </w:rPr>
            </w:r>
          </w:p>
        </w:tc>
      </w:tr>
      <w:tr>
        <w:trPr>
          <w:trHeight w:val="8350"/>
        </w:trPr>
        <w:tc>
          <w:tcPr>
            <w:shd w:val="clear" w:color="auto" w:fill="auto"/>
            <w:tcBorders>
              <w:top w:val="none" w:color="000000" w:sz="4" w:space="0"/>
              <w:left w:val="single" w:color="auto" w:sz="4" w:space="0"/>
              <w:bottom w:val="single" w:color="auto" w:sz="4" w:space="0"/>
              <w:right w:val="single" w:color="auto" w:sz="4" w:space="0"/>
            </w:tcBorders>
            <w:tcW w:w="675"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27</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县级文物保护单位保护范围及建设控制地带的划定并公布</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　</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行政确认</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3"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麦积区文体广电和旅游局</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文物股</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3685" w:type="dxa"/>
            <w:vAlign w:val="center"/>
            <w:textDirection w:val="lrTb"/>
            <w:noWrap w:val="false"/>
          </w:tcPr>
          <w:p>
            <w:pPr>
              <w:widowControl w:val="true"/>
              <w:pBdr/>
              <w:spacing/>
              <w:ind/>
              <w:jc w:val="left"/>
              <w:rPr>
                <w:rFonts w:ascii="仿宋" w:hAnsi="仿宋" w:eastAsia="仿宋" w:cs="宋体"/>
                <w:color w:val="333333"/>
                <w:sz w:val="16"/>
                <w:szCs w:val="16"/>
              </w:rPr>
            </w:pPr>
            <w:r>
              <w:rPr>
                <w:rFonts w:hint="eastAsia" w:ascii="仿宋" w:hAnsi="仿宋" w:eastAsia="仿宋" w:cs="宋体"/>
                <w:color w:val="333333"/>
                <w:sz w:val="16"/>
                <w:szCs w:val="16"/>
              </w:rPr>
              <w:t xml:space="preserve">【法律】《中华人民共和国文物保护法》第十八条 根据保护文物的实际需</w:t>
            </w:r>
            <w:r>
              <w:rPr>
                <w:rFonts w:hint="eastAsia" w:ascii="仿宋" w:hAnsi="仿宋" w:eastAsia="仿宋" w:cs="宋体"/>
                <w:color w:val="333333"/>
                <w:sz w:val="16"/>
                <w:szCs w:val="16"/>
              </w:rPr>
              <w:t xml:space="preserve">要，经省、自治区、直辖市人民政府批准，可以在文物保护单位的周围划出一定的建设控制地带，并予以公布。 【行政法规】《中华人民共和国文物保护法实施条例》（国务院令第377号）第十四条 全国重点文物保护单位的建设控制地带，经省、自治区、直辖市人民政府批准，由省、自治区、直辖市人民政府的文物行政主管部门会同城乡规划行政主管部门划定并公布。省级、设区的市、自治州级和县级文物保护单位的建设控制地带，经省、自治区、直辖市人民政府批准，由核定公布该文物保护单位的人民政府的文物行政主管部门会同城乡规划行政主管部门划定并公布。</w:t>
            </w:r>
            <w:r>
              <w:rPr>
                <w:rFonts w:ascii="仿宋" w:hAnsi="仿宋" w:eastAsia="仿宋" w:cs="宋体"/>
                <w:color w:val="333333"/>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1.受理阶段责任：公示依法应当提交的材料；一次性告知补正材料；依法受理或不予受理（不予受理应告知理由）。</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2.2.审查阶段责任：对申请资料审核（包括：申请文件、建设工程的规划、设计方案；工程对文物可能产生破坏或影响的评估报告及为保护文物安全及历史、自然环境所采用的相关措施设计；涉及地下遗存的，应提供考古勘探发掘资料)。 </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3.决定阶段责任：组织专家提出意见，并报分管局长审批；</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4.符合条件的予以审批、不符合条件的将材料退回，并书面告知申请人。</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因不履行或不正确履行行政职责，有下列情形的，行政机关及相应工作人员应承担相应责任： 1.对符合法定条件的行政许可申请不予受理的； 2.对不符合法定条件的申请人准予行政许可或者超越法定职权作出准予行政许可决定的； 3.对符合法定条件的申请人不予行政许可或者不在法定期限内作出准予行政许可决定的； 4.不依法履行监管职责和监管不力，发生违法违规经营行为的； 5.违反法定程序实施行政许可的； 6.违规审批、实施监督检查，索取或者收受他人财物或者谋取其他利益； 48.其他违反法律法规规章规定的行为。</w:t>
            </w:r>
            <w:r>
              <w:rPr>
                <w:rFonts w:ascii="仿宋" w:hAnsi="仿宋" w:eastAsia="仿宋" w:cs="宋体"/>
                <w:color w:val="000000"/>
                <w:sz w:val="16"/>
                <w:szCs w:val="16"/>
              </w:rPr>
            </w:r>
          </w:p>
        </w:tc>
      </w:tr>
      <w:tr>
        <w:trPr>
          <w:trHeight w:val="7499"/>
        </w:trPr>
        <w:tc>
          <w:tcPr>
            <w:shd w:val="clear" w:color="auto" w:fill="auto"/>
            <w:tcBorders>
              <w:top w:val="none" w:color="000000" w:sz="4" w:space="0"/>
              <w:left w:val="single" w:color="auto" w:sz="4" w:space="0"/>
              <w:bottom w:val="single" w:color="auto" w:sz="4" w:space="0"/>
              <w:right w:val="single" w:color="auto" w:sz="4" w:space="0"/>
            </w:tcBorders>
            <w:tcW w:w="675"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28</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全国重点文物保护单位、省级及以下文物保护单位（含省级水下文物保护单位、水下文物保护区）的认定</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　</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行政确认</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3"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麦积区文体广电和旅游局</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文物股</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3685" w:type="dxa"/>
            <w:vAlign w:val="center"/>
            <w:textDirection w:val="lrTb"/>
            <w:noWrap w:val="false"/>
          </w:tcPr>
          <w:p>
            <w:pPr>
              <w:widowControl w:val="true"/>
              <w:pBdr/>
              <w:spacing/>
              <w:ind/>
              <w:jc w:val="left"/>
              <w:rPr>
                <w:rFonts w:ascii="仿宋" w:hAnsi="仿宋" w:eastAsia="仿宋" w:cs="宋体"/>
                <w:color w:val="333333"/>
                <w:sz w:val="16"/>
                <w:szCs w:val="16"/>
              </w:rPr>
            </w:pPr>
            <w:r>
              <w:rPr>
                <w:rFonts w:hint="eastAsia" w:ascii="仿宋" w:hAnsi="仿宋" w:eastAsia="仿宋" w:cs="宋体"/>
                <w:color w:val="333333"/>
                <w:sz w:val="16"/>
                <w:szCs w:val="16"/>
              </w:rPr>
              <w:t xml:space="preserve">1.《中华人民共和国文物保护法》第十三条 国务院文物行政部门在省级、市、县级文物保护单位中，选择具有重大历史、艺术、科学价值的确定为全国重点文物保护单位，或者直接确定为全国重点文物保</w:t>
            </w:r>
            <w:r>
              <w:rPr>
                <w:rFonts w:hint="eastAsia" w:ascii="仿宋" w:hAnsi="仿宋" w:eastAsia="仿宋" w:cs="宋体"/>
                <w:color w:val="333333"/>
                <w:sz w:val="16"/>
                <w:szCs w:val="16"/>
              </w:rPr>
              <w:t xml:space="preserve">护单位，报国务院核定公布。省级文物保护单位，由省、自治区、直辖市人民政府核定公布，并报国务院备案。市级和县级文物保护单位，分别由设区的市、自治州和县级人民政府核定公布，并报省、自治区、直辖市人民政府备案。尚未核定公布为文物保护单位的不可移动文物，由县级人民政府文物行政部门予以登记并公布。 2.《中华人民共和国水下文物保护管理条例》第五条 根据水下文物的价值，国务院和省、自治区、直辖市人民政府可以依据《中华人民共和国文物保护法》第二章规定的有关程序，确定全国或者省级水下文物保护单位、水下文物保护区，并予公布。</w:t>
            </w:r>
            <w:r>
              <w:rPr>
                <w:rFonts w:ascii="仿宋" w:hAnsi="仿宋" w:eastAsia="仿宋" w:cs="宋体"/>
                <w:color w:val="333333"/>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1.受理阶段责任：公示依法应当提交的材料；一次性告知补正材料；依法受理或不予受理（不予受理应告知理由）。</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2.2.审查阶段责任：对申请资料审核（包括：申请文件、建设工程的规划、设计方案；工程对文物可能产生破坏或影响的评估报告及为保护文物安全及历史、自然环境所采用的相关措施设计；涉及地下遗存的，应提供考古勘探发掘资料)。 </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3.决定阶段责任：组织专家提出意见，并报分管局长审批；</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4.符合条件的予以审批、不符合条件的将材料退回，并书面告知申请人。</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因不履行或不正确履行行政职责，有下列情形的，行政机关及相应工作人员应承担相应责任： 1.对符合法定条件的行政许可申请不予受理的； 2.对不符合法定条件的申请人准予行政许可或者超越法定职权作出准予行政许可决定的； 3.对符合法定条件的申请人不予行政许可或者不在法定期限内作出准予行政许可决定的； 4.不依法履行监管职责和监管不力，发生违法违规经营行为的； 5.违反法定程序实施行政许可的； 6.违规审批、实施监督检查，索取或者收受他人财物或者谋取其他利益； 50.其他违反法律法规规章规定的行为。</w:t>
            </w:r>
            <w:r>
              <w:rPr>
                <w:rFonts w:ascii="仿宋" w:hAnsi="仿宋" w:eastAsia="仿宋" w:cs="宋体"/>
                <w:color w:val="000000"/>
                <w:sz w:val="16"/>
                <w:szCs w:val="16"/>
              </w:rPr>
            </w:r>
          </w:p>
        </w:tc>
      </w:tr>
      <w:tr>
        <w:trPr>
          <w:trHeight w:val="8492"/>
        </w:trPr>
        <w:tc>
          <w:tcPr>
            <w:shd w:val="clear" w:color="auto" w:fill="auto"/>
            <w:tcBorders>
              <w:top w:val="none" w:color="000000" w:sz="4" w:space="0"/>
              <w:left w:val="single" w:color="auto" w:sz="4" w:space="0"/>
              <w:bottom w:val="single" w:color="auto" w:sz="4" w:space="0"/>
              <w:right w:val="single" w:color="auto" w:sz="4" w:space="0"/>
            </w:tcBorders>
            <w:tcW w:w="675"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29</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国有单位收藏、保管的国有文物藏品档案备案</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left"/>
              <w:rPr>
                <w:rFonts w:ascii="仿宋" w:hAnsi="仿宋" w:eastAsia="仿宋" w:cs="宋体"/>
                <w:sz w:val="16"/>
                <w:szCs w:val="16"/>
              </w:rPr>
            </w:pPr>
            <w:r>
              <w:rPr>
                <w:rFonts w:hint="eastAsia" w:ascii="仿宋" w:hAnsi="仿宋" w:eastAsia="仿宋" w:cs="宋体"/>
                <w:sz w:val="16"/>
                <w:szCs w:val="16"/>
              </w:rPr>
              <w:t xml:space="preserve">　</w:t>
            </w:r>
            <w:r>
              <w:rPr>
                <w:rFonts w:ascii="仿宋" w:hAnsi="仿宋" w:eastAsia="仿宋" w:cs="宋体"/>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center"/>
              <w:rPr>
                <w:rFonts w:ascii="仿宋" w:hAnsi="仿宋" w:eastAsia="仿宋" w:cs="宋体"/>
                <w:sz w:val="16"/>
                <w:szCs w:val="16"/>
              </w:rPr>
            </w:pPr>
            <w:r>
              <w:rPr>
                <w:rFonts w:hint="eastAsia" w:ascii="仿宋" w:hAnsi="仿宋" w:eastAsia="仿宋" w:cs="宋体"/>
                <w:sz w:val="16"/>
                <w:szCs w:val="16"/>
              </w:rPr>
              <w:t xml:space="preserve">其他行政权力</w:t>
            </w:r>
            <w:r>
              <w:rPr>
                <w:rFonts w:ascii="仿宋" w:hAnsi="仿宋" w:eastAsia="仿宋" w:cs="宋体"/>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3"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天水市麦积区文体广电和旅游局</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政务服务管理股</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3685"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1.《中华人民共和国文物保护法》(2002年10月28日第九届全国人大常委会第三十次会议通过，2017年11月4日修正)第三十六条  博物馆、图书馆和其他文物收藏单位对收藏的文物，必须区分文物等级，设置藏品档案，建立严格的管理制度，并报主管的文物行政部门备案。县级以上地方人民政府文物行政部门应当分别建立本行政区域内的馆藏文物档案。</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2.《中华人民共和国文物保护法实施条例》(2003年5月13日国务院第8次常务会议通过，2016年2月6日修订)第二十九条  县级人民政府文物行政主管部门应当将本行政区域内的馆藏文物档案，按照行政隶属关系报设区的市、自治州级人民政府文物行政主管部门或者省、自治区、直辖市人民政府文物行政主管部门备案；设区市、自治州级人民政府人民政府文物行政部门应当将本行政区域内的馆藏文物档案，报省、自治区、直辖市人民政府文物行政主管部门备案。</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3.《博物馆条例》第二十二条  博物馆应当建立藏品账目及档案。藏品属于文物的，应当区分文物等级，单独设置文物档案，建立严格的管理制度，并报文物主管部门备案。</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widowControl w:val="true"/>
              <w:pBdr/>
              <w:spacing/>
              <w:ind/>
              <w:jc w:val="left"/>
              <w:rPr>
                <w:rFonts w:ascii="仿宋" w:hAnsi="仿宋" w:eastAsia="仿宋" w:cs="宋体"/>
                <w:sz w:val="16"/>
                <w:szCs w:val="16"/>
              </w:rPr>
            </w:pPr>
            <w:r>
              <w:rPr>
                <w:rFonts w:hint="eastAsia" w:ascii="仿宋" w:hAnsi="仿宋" w:eastAsia="仿宋" w:cs="宋体"/>
                <w:sz w:val="16"/>
                <w:szCs w:val="16"/>
              </w:rPr>
              <w:t xml:space="preserve">受理阶段责任：公示依法应当提交的材料；一次性告知补正材料；依法受理或不予受理（不予受理应告知理由）。</w:t>
            </w:r>
            <w:r>
              <w:rPr>
                <w:rFonts w:ascii="仿宋" w:hAnsi="仿宋" w:eastAsia="仿宋" w:cs="宋体"/>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pPr>
              <w:widowControl w:val="true"/>
              <w:pBdr/>
              <w:spacing/>
              <w:ind/>
              <w:jc w:val="left"/>
              <w:rPr>
                <w:rFonts w:ascii="仿宋" w:hAnsi="仿宋" w:eastAsia="仿宋" w:cs="宋体"/>
                <w:sz w:val="16"/>
                <w:szCs w:val="16"/>
              </w:rPr>
            </w:pPr>
            <w:r>
              <w:rPr>
                <w:rFonts w:hint="eastAsia" w:ascii="仿宋" w:hAnsi="仿宋" w:eastAsia="仿宋" w:cs="宋体"/>
                <w:sz w:val="16"/>
                <w:szCs w:val="16"/>
              </w:rPr>
              <w:t xml:space="preserve">因不履行或不正确履行行政职责，有下列情形的，行政机关及相关工作人员应承担相应责任：</w:t>
            </w:r>
            <w:r>
              <w:rPr>
                <w:rFonts w:hint="eastAsia" w:ascii="仿宋" w:hAnsi="仿宋" w:eastAsia="仿宋" w:cs="宋体"/>
                <w:sz w:val="16"/>
                <w:szCs w:val="16"/>
              </w:rPr>
              <w:br/>
            </w:r>
            <w:r>
              <w:rPr>
                <w:rFonts w:hint="eastAsia" w:ascii="仿宋" w:hAnsi="仿宋" w:eastAsia="仿宋" w:cs="宋体"/>
                <w:sz w:val="16"/>
                <w:szCs w:val="16"/>
              </w:rPr>
              <w:t xml:space="preserve">1.对符合受理条件而不予受理的；</w:t>
            </w:r>
            <w:r>
              <w:rPr>
                <w:rFonts w:hint="eastAsia" w:ascii="仿宋" w:hAnsi="仿宋" w:eastAsia="仿宋" w:cs="宋体"/>
                <w:sz w:val="16"/>
                <w:szCs w:val="16"/>
              </w:rPr>
              <w:br/>
            </w:r>
            <w:r>
              <w:rPr>
                <w:rFonts w:hint="eastAsia" w:ascii="仿宋" w:hAnsi="仿宋" w:eastAsia="仿宋" w:cs="宋体"/>
                <w:sz w:val="16"/>
                <w:szCs w:val="16"/>
              </w:rPr>
              <w:t xml:space="preserve">2.对不符合受理条件或明知不符合有关法律法规或技术要求而审查通过的；</w:t>
            </w:r>
            <w:r>
              <w:rPr>
                <w:rFonts w:hint="eastAsia" w:ascii="仿宋" w:hAnsi="仿宋" w:eastAsia="仿宋" w:cs="宋体"/>
                <w:sz w:val="16"/>
                <w:szCs w:val="16"/>
              </w:rPr>
              <w:br/>
            </w:r>
            <w:r>
              <w:rPr>
                <w:rFonts w:hint="eastAsia" w:ascii="仿宋" w:hAnsi="仿宋" w:eastAsia="仿宋" w:cs="宋体"/>
                <w:sz w:val="16"/>
                <w:szCs w:val="16"/>
              </w:rPr>
              <w:t xml:space="preserve">3.因未严格审查而产生严重后果的；</w:t>
            </w:r>
            <w:r>
              <w:rPr>
                <w:rFonts w:hint="eastAsia" w:ascii="仿宋" w:hAnsi="仿宋" w:eastAsia="仿宋" w:cs="宋体"/>
                <w:sz w:val="16"/>
                <w:szCs w:val="16"/>
              </w:rPr>
              <w:br/>
            </w:r>
            <w:r>
              <w:rPr>
                <w:rFonts w:hint="eastAsia" w:ascii="仿宋" w:hAnsi="仿宋" w:eastAsia="仿宋" w:cs="宋体"/>
                <w:sz w:val="16"/>
                <w:szCs w:val="16"/>
              </w:rPr>
              <w:t xml:space="preserve">4.在备案中有玩忽职守、滥用职权发生腐败行为的；</w:t>
            </w:r>
            <w:r>
              <w:rPr>
                <w:rFonts w:ascii="仿宋" w:hAnsi="仿宋" w:eastAsia="仿宋" w:cs="宋体"/>
                <w:sz w:val="16"/>
                <w:szCs w:val="16"/>
              </w:rPr>
            </w:r>
          </w:p>
        </w:tc>
      </w:tr>
      <w:tr>
        <w:trPr>
          <w:trHeight w:val="7924"/>
        </w:trPr>
        <w:tc>
          <w:tcPr>
            <w:shd w:val="clear" w:color="auto" w:fill="auto"/>
            <w:tcBorders>
              <w:top w:val="none" w:color="000000" w:sz="4" w:space="0"/>
              <w:left w:val="single" w:color="auto" w:sz="4" w:space="0"/>
              <w:bottom w:val="single" w:color="auto" w:sz="4" w:space="0"/>
              <w:right w:val="single" w:color="auto" w:sz="4" w:space="0"/>
            </w:tcBorders>
            <w:tcW w:w="675"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30</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博物馆陈列展览主题、展品说明、讲解词等备案</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left"/>
              <w:rPr>
                <w:rFonts w:ascii="仿宋" w:hAnsi="仿宋" w:eastAsia="仿宋" w:cs="宋体"/>
                <w:sz w:val="16"/>
                <w:szCs w:val="16"/>
              </w:rPr>
            </w:pPr>
            <w:r>
              <w:rPr>
                <w:rFonts w:hint="eastAsia" w:ascii="仿宋" w:hAnsi="仿宋" w:eastAsia="仿宋" w:cs="宋体"/>
                <w:sz w:val="16"/>
                <w:szCs w:val="16"/>
              </w:rPr>
              <w:t xml:space="preserve">　</w:t>
            </w:r>
            <w:r>
              <w:rPr>
                <w:rFonts w:ascii="仿宋" w:hAnsi="仿宋" w:eastAsia="仿宋" w:cs="宋体"/>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center"/>
              <w:rPr>
                <w:rFonts w:ascii="仿宋" w:hAnsi="仿宋" w:eastAsia="仿宋" w:cs="宋体"/>
                <w:sz w:val="16"/>
                <w:szCs w:val="16"/>
              </w:rPr>
            </w:pPr>
            <w:r>
              <w:rPr>
                <w:rFonts w:hint="eastAsia" w:ascii="仿宋" w:hAnsi="仿宋" w:eastAsia="仿宋" w:cs="宋体"/>
                <w:sz w:val="16"/>
                <w:szCs w:val="16"/>
              </w:rPr>
              <w:t xml:space="preserve">其他行政权力</w:t>
            </w:r>
            <w:r>
              <w:rPr>
                <w:rFonts w:ascii="仿宋" w:hAnsi="仿宋" w:eastAsia="仿宋" w:cs="宋体"/>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3"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天水市麦积区文体广电和旅游局</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政务服务管理股</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3685"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《博物馆条例》第三十一条　博物馆举办陈列展览的，应当在陈列展览开始之日10个工作日前，将陈列展览主题、展品说明、讲解词等向陈列展览举办地的文物主管部门或者其他有关部门备案。</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widowControl w:val="true"/>
              <w:pBdr/>
              <w:spacing/>
              <w:ind/>
              <w:jc w:val="left"/>
              <w:rPr>
                <w:rFonts w:ascii="仿宋" w:hAnsi="仿宋" w:eastAsia="仿宋" w:cs="宋体"/>
                <w:sz w:val="16"/>
                <w:szCs w:val="16"/>
              </w:rPr>
            </w:pPr>
            <w:r>
              <w:rPr>
                <w:rFonts w:hint="eastAsia" w:ascii="仿宋" w:hAnsi="仿宋" w:eastAsia="仿宋" w:cs="宋体"/>
                <w:sz w:val="16"/>
                <w:szCs w:val="16"/>
              </w:rPr>
              <w:t xml:space="preserve">受理阶段责任：公示依法应当提交的材料；一次性告知补正材料；依法受理或不予受理（不予受理应告知理由）。</w:t>
            </w:r>
            <w:r>
              <w:rPr>
                <w:rFonts w:ascii="仿宋" w:hAnsi="仿宋" w:eastAsia="仿宋" w:cs="宋体"/>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pPr>
              <w:widowControl w:val="true"/>
              <w:pBdr/>
              <w:spacing/>
              <w:ind/>
              <w:jc w:val="left"/>
              <w:rPr>
                <w:rFonts w:ascii="仿宋" w:hAnsi="仿宋" w:eastAsia="仿宋" w:cs="宋体"/>
                <w:sz w:val="16"/>
                <w:szCs w:val="16"/>
              </w:rPr>
            </w:pPr>
            <w:r>
              <w:rPr>
                <w:rFonts w:hint="eastAsia" w:ascii="仿宋" w:hAnsi="仿宋" w:eastAsia="仿宋" w:cs="宋体"/>
                <w:sz w:val="16"/>
                <w:szCs w:val="16"/>
              </w:rPr>
              <w:t xml:space="preserve">因不履行或不正确履行行政职责，有下列情形的，行政机关及相关工作人员应承担相应责任：</w:t>
            </w:r>
            <w:r>
              <w:rPr>
                <w:rFonts w:hint="eastAsia" w:ascii="仿宋" w:hAnsi="仿宋" w:eastAsia="仿宋" w:cs="宋体"/>
                <w:sz w:val="16"/>
                <w:szCs w:val="16"/>
              </w:rPr>
              <w:br/>
            </w:r>
            <w:r>
              <w:rPr>
                <w:rFonts w:hint="eastAsia" w:ascii="仿宋" w:hAnsi="仿宋" w:eastAsia="仿宋" w:cs="宋体"/>
                <w:sz w:val="16"/>
                <w:szCs w:val="16"/>
              </w:rPr>
              <w:t xml:space="preserve">1.对符合受理条件而不予受理的；</w:t>
            </w:r>
            <w:r>
              <w:rPr>
                <w:rFonts w:hint="eastAsia" w:ascii="仿宋" w:hAnsi="仿宋" w:eastAsia="仿宋" w:cs="宋体"/>
                <w:sz w:val="16"/>
                <w:szCs w:val="16"/>
              </w:rPr>
              <w:br/>
            </w:r>
            <w:r>
              <w:rPr>
                <w:rFonts w:hint="eastAsia" w:ascii="仿宋" w:hAnsi="仿宋" w:eastAsia="仿宋" w:cs="宋体"/>
                <w:sz w:val="16"/>
                <w:szCs w:val="16"/>
              </w:rPr>
              <w:t xml:space="preserve">2.对不符合受理条件或明知不符合有关法律法规或技术要求而审查通过的；</w:t>
            </w:r>
            <w:r>
              <w:rPr>
                <w:rFonts w:hint="eastAsia" w:ascii="仿宋" w:hAnsi="仿宋" w:eastAsia="仿宋" w:cs="宋体"/>
                <w:sz w:val="16"/>
                <w:szCs w:val="16"/>
              </w:rPr>
              <w:br/>
            </w:r>
            <w:r>
              <w:rPr>
                <w:rFonts w:hint="eastAsia" w:ascii="仿宋" w:hAnsi="仿宋" w:eastAsia="仿宋" w:cs="宋体"/>
                <w:sz w:val="16"/>
                <w:szCs w:val="16"/>
              </w:rPr>
              <w:t xml:space="preserve">3.因未严格审查而产生严重后果的；</w:t>
            </w:r>
            <w:r>
              <w:rPr>
                <w:rFonts w:hint="eastAsia" w:ascii="仿宋" w:hAnsi="仿宋" w:eastAsia="仿宋" w:cs="宋体"/>
                <w:sz w:val="16"/>
                <w:szCs w:val="16"/>
              </w:rPr>
              <w:br/>
            </w:r>
            <w:r>
              <w:rPr>
                <w:rFonts w:hint="eastAsia" w:ascii="仿宋" w:hAnsi="仿宋" w:eastAsia="仿宋" w:cs="宋体"/>
                <w:sz w:val="16"/>
                <w:szCs w:val="16"/>
              </w:rPr>
              <w:t xml:space="preserve">4.在备案中有玩忽职守、滥用职权发生腐败行为的；</w:t>
            </w:r>
            <w:r>
              <w:rPr>
                <w:rFonts w:ascii="仿宋" w:hAnsi="仿宋" w:eastAsia="仿宋" w:cs="宋体"/>
                <w:sz w:val="16"/>
                <w:szCs w:val="16"/>
              </w:rPr>
            </w:r>
          </w:p>
        </w:tc>
      </w:tr>
      <w:tr>
        <w:trPr>
          <w:trHeight w:val="8208"/>
        </w:trPr>
        <w:tc>
          <w:tcPr>
            <w:shd w:val="clear" w:color="auto" w:fill="auto"/>
            <w:tcBorders>
              <w:top w:val="none" w:color="000000" w:sz="4" w:space="0"/>
              <w:left w:val="single" w:color="auto" w:sz="4" w:space="0"/>
              <w:bottom w:val="single" w:color="auto" w:sz="4" w:space="0"/>
              <w:right w:val="single" w:color="auto" w:sz="4" w:space="0"/>
            </w:tcBorders>
            <w:tcW w:w="675"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31</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旅行社设立分社备案</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left"/>
              <w:rPr>
                <w:rFonts w:ascii="仿宋" w:hAnsi="仿宋" w:eastAsia="仿宋" w:cs="宋体"/>
                <w:sz w:val="16"/>
                <w:szCs w:val="16"/>
              </w:rPr>
            </w:pPr>
            <w:r>
              <w:rPr>
                <w:rFonts w:hint="eastAsia" w:ascii="仿宋" w:hAnsi="仿宋" w:eastAsia="仿宋" w:cs="宋体"/>
                <w:sz w:val="16"/>
                <w:szCs w:val="16"/>
              </w:rPr>
              <w:t xml:space="preserve">　</w:t>
            </w:r>
            <w:r>
              <w:rPr>
                <w:rFonts w:ascii="仿宋" w:hAnsi="仿宋" w:eastAsia="仿宋" w:cs="宋体"/>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center"/>
              <w:rPr>
                <w:rFonts w:ascii="仿宋" w:hAnsi="仿宋" w:eastAsia="仿宋" w:cs="宋体"/>
                <w:sz w:val="16"/>
                <w:szCs w:val="16"/>
              </w:rPr>
            </w:pPr>
            <w:r>
              <w:rPr>
                <w:rFonts w:hint="eastAsia" w:ascii="仿宋" w:hAnsi="仿宋" w:eastAsia="仿宋" w:cs="宋体"/>
                <w:sz w:val="16"/>
                <w:szCs w:val="16"/>
              </w:rPr>
              <w:t xml:space="preserve">其他行政权力</w:t>
            </w:r>
            <w:r>
              <w:rPr>
                <w:rFonts w:ascii="仿宋" w:hAnsi="仿宋" w:eastAsia="仿宋" w:cs="宋体"/>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3"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天水市麦积区文体广电和旅游局</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政务服务管理股</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3685"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1.《旅行社条例》第十条 旅行社设立分社的，应当向分社所在地的工商行政管理部门办理设立登记，并</w:t>
            </w:r>
            <w:r>
              <w:rPr>
                <w:rFonts w:hint="eastAsia" w:ascii="仿宋" w:hAnsi="仿宋" w:eastAsia="仿宋" w:cs="宋体"/>
                <w:color w:val="000000"/>
                <w:sz w:val="16"/>
                <w:szCs w:val="16"/>
              </w:rPr>
              <w:t xml:space="preserve">自设立登记之日起3个工作日内向分社所在地的旅游行政管理部门备案。旅行社分社的设立不受地域限制。分社的经营范围不得超出设立分社的旅行社的经营范围。2.《旅行社条例实施细则》第十九条　设立社向分社所在地工商行政管理部门办理分社设立登记后，应当持下列文件向分社所在地与工商登记同级的旅游行政管理部门备案：（一）设立社的旅行社业务经营许可证副本和企业法人营业执照副本；（二）分社的《营业执照》；（三）分社经理的履历表和身份证明；（四）增存质量保证金的证明文件。没有同级的旅游行政管理部门的，向上一级旅游行政管理部门备案。</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widowControl w:val="true"/>
              <w:pBdr/>
              <w:spacing/>
              <w:ind/>
              <w:jc w:val="left"/>
              <w:rPr>
                <w:rFonts w:ascii="仿宋" w:hAnsi="仿宋" w:eastAsia="仿宋" w:cs="宋体"/>
                <w:sz w:val="16"/>
                <w:szCs w:val="16"/>
              </w:rPr>
            </w:pPr>
            <w:r>
              <w:rPr>
                <w:rFonts w:hint="eastAsia" w:ascii="仿宋" w:hAnsi="仿宋" w:eastAsia="仿宋" w:cs="宋体"/>
                <w:sz w:val="16"/>
                <w:szCs w:val="16"/>
              </w:rPr>
              <w:t xml:space="preserve">1.受理阶段责任：公示依法应当提交的材料；一次性告知补正材料；依法受理或不予受理（不予受理应当告知理由）。 2.审查阶段责任：对申请材料进行预审、提出预审意见；对经营场所、营业设施、设备进行现场检查。 3.决定阶段责任：作出行政许可或者不予行政许可决定，法定告知（不予许可的应当书面告知理由）。 4.送达阶段责任：准予许可的制作许可证件，送达并信息公开。 5.事后监管责任：开展定期和不定期检查，根据检查情况，依法采取相关处置措施。</w:t>
            </w:r>
            <w:r>
              <w:rPr>
                <w:rFonts w:ascii="仿宋" w:hAnsi="仿宋" w:eastAsia="仿宋" w:cs="宋体"/>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pPr>
              <w:widowControl w:val="true"/>
              <w:pBdr/>
              <w:spacing/>
              <w:ind/>
              <w:jc w:val="left"/>
              <w:rPr>
                <w:rFonts w:ascii="仿宋" w:hAnsi="仿宋" w:eastAsia="仿宋" w:cs="宋体"/>
                <w:sz w:val="16"/>
                <w:szCs w:val="16"/>
              </w:rPr>
            </w:pPr>
            <w:r>
              <w:rPr>
                <w:rFonts w:hint="eastAsia" w:ascii="仿宋" w:hAnsi="仿宋" w:eastAsia="仿宋" w:cs="宋体"/>
                <w:sz w:val="16"/>
                <w:szCs w:val="16"/>
              </w:rPr>
              <w:t xml:space="preserve">因不履行或不正确履行行政职责，有下列情形的，行政机关及相关工作人员应承担相应责任：</w:t>
            </w:r>
            <w:r>
              <w:rPr>
                <w:rFonts w:hint="eastAsia" w:ascii="仿宋" w:hAnsi="仿宋" w:eastAsia="仿宋" w:cs="宋体"/>
                <w:sz w:val="16"/>
                <w:szCs w:val="16"/>
              </w:rPr>
              <w:br/>
            </w:r>
            <w:r>
              <w:rPr>
                <w:rFonts w:hint="eastAsia" w:ascii="仿宋" w:hAnsi="仿宋" w:eastAsia="仿宋" w:cs="宋体"/>
                <w:sz w:val="16"/>
                <w:szCs w:val="16"/>
              </w:rPr>
              <w:t xml:space="preserve">1.对符合受理条件而不予受理的；</w:t>
            </w:r>
            <w:r>
              <w:rPr>
                <w:rFonts w:hint="eastAsia" w:ascii="仿宋" w:hAnsi="仿宋" w:eastAsia="仿宋" w:cs="宋体"/>
                <w:sz w:val="16"/>
                <w:szCs w:val="16"/>
              </w:rPr>
              <w:br/>
            </w:r>
            <w:r>
              <w:rPr>
                <w:rFonts w:hint="eastAsia" w:ascii="仿宋" w:hAnsi="仿宋" w:eastAsia="仿宋" w:cs="宋体"/>
                <w:sz w:val="16"/>
                <w:szCs w:val="16"/>
              </w:rPr>
              <w:t xml:space="preserve">2.对不符合受理条件或明知不符合有关法律法规或技术要求而审查通过的；</w:t>
            </w:r>
            <w:r>
              <w:rPr>
                <w:rFonts w:hint="eastAsia" w:ascii="仿宋" w:hAnsi="仿宋" w:eastAsia="仿宋" w:cs="宋体"/>
                <w:sz w:val="16"/>
                <w:szCs w:val="16"/>
              </w:rPr>
              <w:br/>
            </w:r>
            <w:r>
              <w:rPr>
                <w:rFonts w:hint="eastAsia" w:ascii="仿宋" w:hAnsi="仿宋" w:eastAsia="仿宋" w:cs="宋体"/>
                <w:sz w:val="16"/>
                <w:szCs w:val="16"/>
              </w:rPr>
              <w:t xml:space="preserve">3.因未严格审查而产生严重后果的；</w:t>
            </w:r>
            <w:r>
              <w:rPr>
                <w:rFonts w:hint="eastAsia" w:ascii="仿宋" w:hAnsi="仿宋" w:eastAsia="仿宋" w:cs="宋体"/>
                <w:sz w:val="16"/>
                <w:szCs w:val="16"/>
              </w:rPr>
              <w:br/>
            </w:r>
            <w:r>
              <w:rPr>
                <w:rFonts w:hint="eastAsia" w:ascii="仿宋" w:hAnsi="仿宋" w:eastAsia="仿宋" w:cs="宋体"/>
                <w:sz w:val="16"/>
                <w:szCs w:val="16"/>
              </w:rPr>
              <w:t xml:space="preserve">4.在备案中有玩忽职守、滥用职权发生腐败行为的；</w:t>
            </w:r>
            <w:r>
              <w:rPr>
                <w:rFonts w:ascii="仿宋" w:hAnsi="仿宋" w:eastAsia="仿宋" w:cs="宋体"/>
                <w:sz w:val="16"/>
                <w:szCs w:val="16"/>
              </w:rPr>
            </w:r>
          </w:p>
        </w:tc>
      </w:tr>
      <w:tr>
        <w:trPr>
          <w:trHeight w:val="8491"/>
        </w:trPr>
        <w:tc>
          <w:tcPr>
            <w:shd w:val="clear" w:color="auto" w:fill="auto"/>
            <w:tcBorders>
              <w:top w:val="none" w:color="000000" w:sz="4" w:space="0"/>
              <w:left w:val="single" w:color="auto" w:sz="4" w:space="0"/>
              <w:bottom w:val="single" w:color="auto" w:sz="4" w:space="0"/>
              <w:right w:val="single" w:color="auto" w:sz="4" w:space="0"/>
            </w:tcBorders>
            <w:tcW w:w="675"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32</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旅行社设立服务网点备案</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left"/>
              <w:rPr>
                <w:rFonts w:ascii="仿宋" w:hAnsi="仿宋" w:eastAsia="仿宋" w:cs="宋体"/>
                <w:sz w:val="16"/>
                <w:szCs w:val="16"/>
              </w:rPr>
            </w:pPr>
            <w:r>
              <w:rPr>
                <w:rFonts w:hint="eastAsia" w:ascii="仿宋" w:hAnsi="仿宋" w:eastAsia="仿宋" w:cs="宋体"/>
                <w:sz w:val="16"/>
                <w:szCs w:val="16"/>
              </w:rPr>
              <w:t xml:space="preserve">　</w:t>
            </w:r>
            <w:r>
              <w:rPr>
                <w:rFonts w:ascii="仿宋" w:hAnsi="仿宋" w:eastAsia="仿宋" w:cs="宋体"/>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center"/>
              <w:rPr>
                <w:rFonts w:ascii="仿宋" w:hAnsi="仿宋" w:eastAsia="仿宋" w:cs="宋体"/>
                <w:sz w:val="16"/>
                <w:szCs w:val="16"/>
              </w:rPr>
            </w:pPr>
            <w:r>
              <w:rPr>
                <w:rFonts w:hint="eastAsia" w:ascii="仿宋" w:hAnsi="仿宋" w:eastAsia="仿宋" w:cs="宋体"/>
                <w:sz w:val="16"/>
                <w:szCs w:val="16"/>
              </w:rPr>
              <w:t xml:space="preserve">其他行政权力</w:t>
            </w:r>
            <w:r>
              <w:rPr>
                <w:rFonts w:ascii="仿宋" w:hAnsi="仿宋" w:eastAsia="仿宋" w:cs="宋体"/>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3"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天水市麦积区文体广电和旅游局</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政务服务管理股</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3685"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1.《旅行社条例》第十一条 旅行社设立专门招徕旅游者、提供旅游咨询的服务网点(以下简称旅行社服务网点)应当依法向</w:t>
            </w:r>
            <w:r>
              <w:rPr>
                <w:rFonts w:hint="eastAsia" w:ascii="仿宋" w:hAnsi="仿宋" w:eastAsia="仿宋" w:cs="宋体"/>
                <w:color w:val="000000"/>
                <w:sz w:val="16"/>
                <w:szCs w:val="16"/>
              </w:rPr>
              <w:t xml:space="preserve">工商行政管理部门办理设立登记手续，并向所在地的旅游行政管理部门备案。旅行社服务网点应当接受旅行社的统一管理，不得从事招徕、咨询以外的活动。2.《旅行社条例实施细则》第二十三条　设立社向服务网点所在地工商行政管理部门办理服务网点设立登记后，应当在3个工作日内，持下列文件向服务网点所在地与工商登记同级的旅游行政管理部门备案：（一）设立社的旅行社业务经营许可证副本和企业法人营业执照副本；（二）服务网点的《营业执照》；（三）服务网点经理的履历表和身份证明。没有同级的旅游行政管理部门的，向上一级旅游行政管理部门备案。</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widowControl w:val="true"/>
              <w:pBdr/>
              <w:spacing/>
              <w:ind/>
              <w:jc w:val="left"/>
              <w:rPr>
                <w:rFonts w:ascii="仿宋" w:hAnsi="仿宋" w:eastAsia="仿宋" w:cs="宋体"/>
                <w:sz w:val="16"/>
                <w:szCs w:val="16"/>
              </w:rPr>
            </w:pPr>
            <w:r>
              <w:rPr>
                <w:rFonts w:hint="eastAsia" w:ascii="仿宋" w:hAnsi="仿宋" w:eastAsia="仿宋" w:cs="宋体"/>
                <w:sz w:val="16"/>
                <w:szCs w:val="16"/>
              </w:rPr>
              <w:t xml:space="preserve">1.受理阶段责任：公示依法应当提交的材料；一次性告知补正材料；依法受理或不予受理（不予受理应当告知理由）。 2.审查阶段责任：对申请材料进行预审、提出预审意见；对经营场所、营业设施、设备进行现场检查。 3.决定阶段责任：作出行政许可或者不予行政许可决定，法定告知（不予许可的应当书面告知理由）。 4.送达阶段责任：准予许可的制作许可证件，送达并信息公开。 5.事后监管责任：开展定期和不定期检查，根据检查情况，依法采取相关处置措施。 </w:t>
            </w:r>
            <w:r>
              <w:rPr>
                <w:rFonts w:ascii="仿宋" w:hAnsi="仿宋" w:eastAsia="仿宋" w:cs="宋体"/>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pPr>
              <w:widowControl w:val="true"/>
              <w:pBdr/>
              <w:spacing/>
              <w:ind/>
              <w:jc w:val="left"/>
              <w:rPr>
                <w:rFonts w:ascii="仿宋" w:hAnsi="仿宋" w:eastAsia="仿宋" w:cs="宋体"/>
                <w:sz w:val="16"/>
                <w:szCs w:val="16"/>
              </w:rPr>
            </w:pPr>
            <w:r>
              <w:rPr>
                <w:rFonts w:hint="eastAsia" w:ascii="仿宋" w:hAnsi="仿宋" w:eastAsia="仿宋" w:cs="宋体"/>
                <w:sz w:val="16"/>
                <w:szCs w:val="16"/>
              </w:rPr>
              <w:t xml:space="preserve">因不履行或不正确履行行政职责，有下列情形的，行政机关及相关工作人员应承担相应责任：</w:t>
            </w:r>
            <w:r>
              <w:rPr>
                <w:rFonts w:hint="eastAsia" w:ascii="仿宋" w:hAnsi="仿宋" w:eastAsia="仿宋" w:cs="宋体"/>
                <w:sz w:val="16"/>
                <w:szCs w:val="16"/>
              </w:rPr>
              <w:br/>
            </w:r>
            <w:r>
              <w:rPr>
                <w:rFonts w:hint="eastAsia" w:ascii="仿宋" w:hAnsi="仿宋" w:eastAsia="仿宋" w:cs="宋体"/>
                <w:sz w:val="16"/>
                <w:szCs w:val="16"/>
              </w:rPr>
              <w:t xml:space="preserve">1.对符合受理条件而不予受理的；</w:t>
            </w:r>
            <w:r>
              <w:rPr>
                <w:rFonts w:hint="eastAsia" w:ascii="仿宋" w:hAnsi="仿宋" w:eastAsia="仿宋" w:cs="宋体"/>
                <w:sz w:val="16"/>
                <w:szCs w:val="16"/>
              </w:rPr>
              <w:br/>
            </w:r>
            <w:r>
              <w:rPr>
                <w:rFonts w:hint="eastAsia" w:ascii="仿宋" w:hAnsi="仿宋" w:eastAsia="仿宋" w:cs="宋体"/>
                <w:sz w:val="16"/>
                <w:szCs w:val="16"/>
              </w:rPr>
              <w:t xml:space="preserve">2.对不符合受理条件或明知不符合有关法律法规或技术要求而审查通过的；</w:t>
            </w:r>
            <w:r>
              <w:rPr>
                <w:rFonts w:hint="eastAsia" w:ascii="仿宋" w:hAnsi="仿宋" w:eastAsia="仿宋" w:cs="宋体"/>
                <w:sz w:val="16"/>
                <w:szCs w:val="16"/>
              </w:rPr>
              <w:br/>
            </w:r>
            <w:r>
              <w:rPr>
                <w:rFonts w:hint="eastAsia" w:ascii="仿宋" w:hAnsi="仿宋" w:eastAsia="仿宋" w:cs="宋体"/>
                <w:sz w:val="16"/>
                <w:szCs w:val="16"/>
              </w:rPr>
              <w:t xml:space="preserve">3.因未严格审查而产生严重后果的；</w:t>
            </w:r>
            <w:r>
              <w:rPr>
                <w:rFonts w:hint="eastAsia" w:ascii="仿宋" w:hAnsi="仿宋" w:eastAsia="仿宋" w:cs="宋体"/>
                <w:sz w:val="16"/>
                <w:szCs w:val="16"/>
              </w:rPr>
              <w:br/>
            </w:r>
            <w:r>
              <w:rPr>
                <w:rFonts w:hint="eastAsia" w:ascii="仿宋" w:hAnsi="仿宋" w:eastAsia="仿宋" w:cs="宋体"/>
                <w:sz w:val="16"/>
                <w:szCs w:val="16"/>
              </w:rPr>
              <w:t xml:space="preserve">4.在备案中有玩忽职守、滥用职权发生腐败行为的；</w:t>
            </w:r>
            <w:r>
              <w:rPr>
                <w:rFonts w:ascii="仿宋" w:hAnsi="仿宋" w:eastAsia="仿宋" w:cs="宋体"/>
                <w:sz w:val="16"/>
                <w:szCs w:val="16"/>
              </w:rPr>
            </w:r>
          </w:p>
        </w:tc>
      </w:tr>
      <w:tr>
        <w:trPr>
          <w:trHeight w:val="8492"/>
        </w:trPr>
        <w:tc>
          <w:tcPr>
            <w:shd w:val="clear" w:color="auto" w:fill="auto"/>
            <w:tcBorders>
              <w:top w:val="none" w:color="000000" w:sz="4" w:space="0"/>
              <w:left w:val="single" w:color="auto" w:sz="4" w:space="0"/>
              <w:bottom w:val="single" w:color="auto" w:sz="4" w:space="0"/>
              <w:right w:val="single" w:color="auto" w:sz="4" w:space="0"/>
            </w:tcBorders>
            <w:tcW w:w="675"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33</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演出场所经营单位申请从事演出场所经营活动的审批</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left"/>
              <w:rPr>
                <w:rFonts w:ascii="仿宋" w:hAnsi="仿宋" w:eastAsia="仿宋" w:cs="宋体"/>
                <w:sz w:val="16"/>
                <w:szCs w:val="16"/>
              </w:rPr>
            </w:pPr>
            <w:r>
              <w:rPr>
                <w:rFonts w:hint="eastAsia" w:ascii="仿宋" w:hAnsi="仿宋" w:eastAsia="仿宋" w:cs="宋体"/>
                <w:sz w:val="16"/>
                <w:szCs w:val="16"/>
              </w:rPr>
              <w:t xml:space="preserve">　</w:t>
            </w:r>
            <w:r>
              <w:rPr>
                <w:rFonts w:ascii="仿宋" w:hAnsi="仿宋" w:eastAsia="仿宋" w:cs="宋体"/>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center"/>
              <w:rPr>
                <w:rFonts w:ascii="仿宋" w:hAnsi="仿宋" w:eastAsia="仿宋" w:cs="宋体"/>
                <w:sz w:val="16"/>
                <w:szCs w:val="16"/>
              </w:rPr>
            </w:pPr>
            <w:r>
              <w:rPr>
                <w:rFonts w:hint="eastAsia" w:ascii="仿宋" w:hAnsi="仿宋" w:eastAsia="仿宋" w:cs="宋体"/>
                <w:sz w:val="16"/>
                <w:szCs w:val="16"/>
              </w:rPr>
              <w:t xml:space="preserve">其他行政权力</w:t>
            </w:r>
            <w:r>
              <w:rPr>
                <w:rFonts w:ascii="仿宋" w:hAnsi="仿宋" w:eastAsia="仿宋" w:cs="宋体"/>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3"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天水市麦积区文体广电和旅游局</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政务服务管理股</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3685"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营业性演出管理条例》（《国务院关于修改部分行政法规的决定》（国务院令第666号）已经于2016年1月13日国务院第119次常务会议通过，并于2016年3月1日公布施行。根据《国务院关于修改部分行政法规的决定》，文化部对《营业性演出管理条例》（国务院令第528号）的相关条款进行了调整）。</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第七条  设立演出场所经营单位，应当依法到工商行政管理部门办理注册登记，领取营业执照，并依照有关消防、卫生管理等法律、行政法规的规定办理审批手续。</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演出场所经营单位应当自领取营业执照之日起20日内向所在地县级人民政府文化主管部门备案。</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widowControl w:val="true"/>
              <w:pBdr/>
              <w:spacing/>
              <w:ind/>
              <w:jc w:val="left"/>
              <w:rPr>
                <w:rFonts w:ascii="仿宋" w:hAnsi="仿宋" w:eastAsia="仿宋" w:cs="宋体"/>
                <w:sz w:val="16"/>
                <w:szCs w:val="16"/>
              </w:rPr>
            </w:pPr>
            <w:r>
              <w:rPr>
                <w:rFonts w:hint="eastAsia" w:ascii="仿宋" w:hAnsi="仿宋" w:eastAsia="仿宋" w:cs="宋体"/>
                <w:sz w:val="16"/>
                <w:szCs w:val="16"/>
              </w:rPr>
              <w:t xml:space="preserve">1.受理阶段责任：公示依法应当提交的材料；一次性告知补正材料；依法受理或不予受理（不予受理应当告知理由）。 2.审查阶段责任：对申请材料进行预审、提出预审意见；对经营场所、营业设施、设备进行现场检查。 3.决定阶段责任：作出行政许可或者不予行政许可决定，法定告知（不予许可的应当书面告知理由）。 4.送达阶段责任：准予许可的制作许可证件，送达并信息公开。 5.事后监管责任：开展定期和不定期检查，根据检查情况，依法采取相关处置措施。 </w:t>
            </w:r>
            <w:r>
              <w:rPr>
                <w:rFonts w:ascii="仿宋" w:hAnsi="仿宋" w:eastAsia="仿宋" w:cs="宋体"/>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pPr>
              <w:widowControl w:val="true"/>
              <w:pBdr/>
              <w:spacing/>
              <w:ind/>
              <w:jc w:val="left"/>
              <w:rPr>
                <w:rFonts w:ascii="仿宋" w:hAnsi="仿宋" w:eastAsia="仿宋" w:cs="宋体"/>
                <w:sz w:val="16"/>
                <w:szCs w:val="16"/>
              </w:rPr>
            </w:pPr>
            <w:r>
              <w:rPr>
                <w:rFonts w:hint="eastAsia" w:ascii="仿宋" w:hAnsi="仿宋" w:eastAsia="仿宋" w:cs="宋体"/>
                <w:sz w:val="16"/>
                <w:szCs w:val="16"/>
              </w:rPr>
              <w:t xml:space="preserve">因不履行或不正确履行行政职责，有下列情形的，行政机关及相关工作人员应承担相应责任：</w:t>
            </w:r>
            <w:r>
              <w:rPr>
                <w:rFonts w:hint="eastAsia" w:ascii="仿宋" w:hAnsi="仿宋" w:eastAsia="仿宋" w:cs="宋体"/>
                <w:sz w:val="16"/>
                <w:szCs w:val="16"/>
              </w:rPr>
              <w:br/>
            </w:r>
            <w:r>
              <w:rPr>
                <w:rFonts w:hint="eastAsia" w:ascii="仿宋" w:hAnsi="仿宋" w:eastAsia="仿宋" w:cs="宋体"/>
                <w:sz w:val="16"/>
                <w:szCs w:val="16"/>
              </w:rPr>
              <w:t xml:space="preserve">1.对符合受理条件而不予受理的；</w:t>
            </w:r>
            <w:r>
              <w:rPr>
                <w:rFonts w:hint="eastAsia" w:ascii="仿宋" w:hAnsi="仿宋" w:eastAsia="仿宋" w:cs="宋体"/>
                <w:sz w:val="16"/>
                <w:szCs w:val="16"/>
              </w:rPr>
              <w:br/>
            </w:r>
            <w:r>
              <w:rPr>
                <w:rFonts w:hint="eastAsia" w:ascii="仿宋" w:hAnsi="仿宋" w:eastAsia="仿宋" w:cs="宋体"/>
                <w:sz w:val="16"/>
                <w:szCs w:val="16"/>
              </w:rPr>
              <w:t xml:space="preserve">2.对不符合受理条件或明知不符合有关法律法规或技术要求而审查通过的；</w:t>
            </w:r>
            <w:r>
              <w:rPr>
                <w:rFonts w:hint="eastAsia" w:ascii="仿宋" w:hAnsi="仿宋" w:eastAsia="仿宋" w:cs="宋体"/>
                <w:sz w:val="16"/>
                <w:szCs w:val="16"/>
              </w:rPr>
              <w:br/>
            </w:r>
            <w:r>
              <w:rPr>
                <w:rFonts w:hint="eastAsia" w:ascii="仿宋" w:hAnsi="仿宋" w:eastAsia="仿宋" w:cs="宋体"/>
                <w:sz w:val="16"/>
                <w:szCs w:val="16"/>
              </w:rPr>
              <w:t xml:space="preserve">3.因未严格审查而产生严重后果的；</w:t>
            </w:r>
            <w:r>
              <w:rPr>
                <w:rFonts w:hint="eastAsia" w:ascii="仿宋" w:hAnsi="仿宋" w:eastAsia="仿宋" w:cs="宋体"/>
                <w:sz w:val="16"/>
                <w:szCs w:val="16"/>
              </w:rPr>
              <w:br/>
            </w:r>
            <w:r>
              <w:rPr>
                <w:rFonts w:hint="eastAsia" w:ascii="仿宋" w:hAnsi="仿宋" w:eastAsia="仿宋" w:cs="宋体"/>
                <w:sz w:val="16"/>
                <w:szCs w:val="16"/>
              </w:rPr>
              <w:t xml:space="preserve">4.在备案中有玩忽职守、滥用职权发生腐败行为的；</w:t>
            </w:r>
            <w:r>
              <w:rPr>
                <w:rFonts w:ascii="仿宋" w:hAnsi="仿宋" w:eastAsia="仿宋" w:cs="宋体"/>
                <w:sz w:val="16"/>
                <w:szCs w:val="16"/>
              </w:rPr>
            </w:r>
          </w:p>
        </w:tc>
      </w:tr>
      <w:tr>
        <w:trPr>
          <w:trHeight w:val="8492"/>
        </w:trPr>
        <w:tc>
          <w:tcPr>
            <w:shd w:val="clear" w:color="auto" w:fill="auto"/>
            <w:tcBorders>
              <w:top w:val="none" w:color="000000" w:sz="4" w:space="0"/>
              <w:left w:val="single" w:color="auto" w:sz="4" w:space="0"/>
              <w:bottom w:val="single" w:color="auto" w:sz="4" w:space="0"/>
              <w:right w:val="single" w:color="auto" w:sz="4" w:space="0"/>
            </w:tcBorders>
            <w:tcW w:w="675"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34</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艺术品经营单位申请从事艺术品经营活动的备案</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left"/>
              <w:rPr>
                <w:rFonts w:ascii="仿宋" w:hAnsi="仿宋" w:eastAsia="仿宋" w:cs="宋体"/>
                <w:sz w:val="16"/>
                <w:szCs w:val="16"/>
              </w:rPr>
            </w:pPr>
            <w:r>
              <w:rPr>
                <w:rFonts w:hint="eastAsia" w:ascii="仿宋" w:hAnsi="仿宋" w:eastAsia="仿宋" w:cs="宋体"/>
                <w:sz w:val="16"/>
                <w:szCs w:val="16"/>
              </w:rPr>
              <w:t xml:space="preserve">　</w:t>
            </w:r>
            <w:r>
              <w:rPr>
                <w:rFonts w:ascii="仿宋" w:hAnsi="仿宋" w:eastAsia="仿宋" w:cs="宋体"/>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center"/>
              <w:rPr>
                <w:rFonts w:ascii="仿宋" w:hAnsi="仿宋" w:eastAsia="仿宋" w:cs="宋体"/>
                <w:sz w:val="16"/>
                <w:szCs w:val="16"/>
              </w:rPr>
            </w:pPr>
            <w:r>
              <w:rPr>
                <w:rFonts w:hint="eastAsia" w:ascii="仿宋" w:hAnsi="仿宋" w:eastAsia="仿宋" w:cs="宋体"/>
                <w:sz w:val="16"/>
                <w:szCs w:val="16"/>
              </w:rPr>
              <w:t xml:space="preserve">其他行政权力</w:t>
            </w:r>
            <w:r>
              <w:rPr>
                <w:rFonts w:ascii="仿宋" w:hAnsi="仿宋" w:eastAsia="仿宋" w:cs="宋体"/>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3"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天水市麦积区文体广电和旅游局</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政务服务管理股</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3685"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《艺术品经营管理办法》（文化部令第56号）第五条 设立从事艺术品经营活动的经营单位，应当到其住所地县级以上人民政府工商行政管理部门申领营业执照，并在领取营业执照之日起15日内，到其住所地县级以上人民政府文化行政部门备案。其他经营单位增设艺术品经营业务的，应当按前款办理备案手续。</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widowControl w:val="true"/>
              <w:pBdr/>
              <w:spacing/>
              <w:ind/>
              <w:jc w:val="left"/>
              <w:rPr>
                <w:rFonts w:ascii="仿宋" w:hAnsi="仿宋" w:eastAsia="仿宋" w:cs="宋体"/>
                <w:sz w:val="16"/>
                <w:szCs w:val="16"/>
              </w:rPr>
            </w:pPr>
            <w:r>
              <w:rPr>
                <w:rFonts w:hint="eastAsia" w:ascii="仿宋" w:hAnsi="仿宋" w:eastAsia="仿宋" w:cs="宋体"/>
                <w:sz w:val="16"/>
                <w:szCs w:val="16"/>
              </w:rPr>
              <w:t xml:space="preserve">1.受理阶段责任：公示依法应当提交的材料；一次性告知补正材料；依法受理或不予受理（不予受理应当告知理由）。 2.审查阶段责任：对申请材料进行预审、提出预审意见；对经营场所、营业设施、设备进行现场检查。 3.决定阶段责任：作出行政许可或者不予行政许可决定，法定告知（不予许可的应当书面告知理由）。 4.送达阶段责任：准予许可的制作许可证件，送达并信息公开。 5.事后监管责任：开展定期和不定期检查，根据检查情况，依法采取相关处置措施。 </w:t>
            </w:r>
            <w:r>
              <w:rPr>
                <w:rFonts w:ascii="仿宋" w:hAnsi="仿宋" w:eastAsia="仿宋" w:cs="宋体"/>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pPr>
              <w:widowControl w:val="true"/>
              <w:pBdr/>
              <w:spacing/>
              <w:ind/>
              <w:jc w:val="left"/>
              <w:rPr>
                <w:rFonts w:ascii="仿宋" w:hAnsi="仿宋" w:eastAsia="仿宋" w:cs="宋体"/>
                <w:sz w:val="16"/>
                <w:szCs w:val="16"/>
              </w:rPr>
            </w:pPr>
            <w:r>
              <w:rPr>
                <w:rFonts w:hint="eastAsia" w:ascii="仿宋" w:hAnsi="仿宋" w:eastAsia="仿宋" w:cs="宋体"/>
                <w:sz w:val="16"/>
                <w:szCs w:val="16"/>
              </w:rPr>
              <w:t xml:space="preserve">因不履行或不正确履行行政职责，有下列情形的，行政机关及相关工作人员应承担相应责任：</w:t>
            </w:r>
            <w:r>
              <w:rPr>
                <w:rFonts w:hint="eastAsia" w:ascii="仿宋" w:hAnsi="仿宋" w:eastAsia="仿宋" w:cs="宋体"/>
                <w:sz w:val="16"/>
                <w:szCs w:val="16"/>
              </w:rPr>
              <w:br/>
            </w:r>
            <w:r>
              <w:rPr>
                <w:rFonts w:hint="eastAsia" w:ascii="仿宋" w:hAnsi="仿宋" w:eastAsia="仿宋" w:cs="宋体"/>
                <w:sz w:val="16"/>
                <w:szCs w:val="16"/>
              </w:rPr>
              <w:t xml:space="preserve">1.对符合受理条件而不予受理的；</w:t>
            </w:r>
            <w:r>
              <w:rPr>
                <w:rFonts w:hint="eastAsia" w:ascii="仿宋" w:hAnsi="仿宋" w:eastAsia="仿宋" w:cs="宋体"/>
                <w:sz w:val="16"/>
                <w:szCs w:val="16"/>
              </w:rPr>
              <w:br/>
            </w:r>
            <w:r>
              <w:rPr>
                <w:rFonts w:hint="eastAsia" w:ascii="仿宋" w:hAnsi="仿宋" w:eastAsia="仿宋" w:cs="宋体"/>
                <w:sz w:val="16"/>
                <w:szCs w:val="16"/>
              </w:rPr>
              <w:t xml:space="preserve">2.对不符合受理条件或明知不符合有关法律法规或技术要求而审查通过的；</w:t>
            </w:r>
            <w:r>
              <w:rPr>
                <w:rFonts w:hint="eastAsia" w:ascii="仿宋" w:hAnsi="仿宋" w:eastAsia="仿宋" w:cs="宋体"/>
                <w:sz w:val="16"/>
                <w:szCs w:val="16"/>
              </w:rPr>
              <w:br/>
            </w:r>
            <w:r>
              <w:rPr>
                <w:rFonts w:hint="eastAsia" w:ascii="仿宋" w:hAnsi="仿宋" w:eastAsia="仿宋" w:cs="宋体"/>
                <w:sz w:val="16"/>
                <w:szCs w:val="16"/>
              </w:rPr>
              <w:t xml:space="preserve">3.因未严格审查而产生严重后果的；</w:t>
            </w:r>
            <w:r>
              <w:rPr>
                <w:rFonts w:hint="eastAsia" w:ascii="仿宋" w:hAnsi="仿宋" w:eastAsia="仿宋" w:cs="宋体"/>
                <w:sz w:val="16"/>
                <w:szCs w:val="16"/>
              </w:rPr>
              <w:br/>
            </w:r>
            <w:r>
              <w:rPr>
                <w:rFonts w:hint="eastAsia" w:ascii="仿宋" w:hAnsi="仿宋" w:eastAsia="仿宋" w:cs="宋体"/>
                <w:sz w:val="16"/>
                <w:szCs w:val="16"/>
              </w:rPr>
              <w:t xml:space="preserve">4.在备案中有玩忽职守、滥用职权发生腐败行为的；</w:t>
            </w:r>
            <w:r>
              <w:rPr>
                <w:rFonts w:ascii="仿宋" w:hAnsi="仿宋" w:eastAsia="仿宋" w:cs="宋体"/>
                <w:sz w:val="16"/>
                <w:szCs w:val="16"/>
              </w:rPr>
            </w:r>
          </w:p>
        </w:tc>
      </w:tr>
      <w:tr>
        <w:trPr>
          <w:trHeight w:val="8491"/>
        </w:trPr>
        <w:tc>
          <w:tcPr>
            <w:shd w:val="clear" w:color="auto" w:fill="auto"/>
            <w:tcBorders>
              <w:top w:val="none" w:color="000000" w:sz="4" w:space="0"/>
              <w:left w:val="single" w:color="auto" w:sz="4" w:space="0"/>
              <w:bottom w:val="single" w:color="auto" w:sz="4" w:space="0"/>
              <w:right w:val="single" w:color="auto" w:sz="4" w:space="0"/>
            </w:tcBorders>
            <w:tcW w:w="675"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35</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艺术考级机构对委托承办艺术考级活动的承办单位的基本情况和合作协议的备案</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left"/>
              <w:rPr>
                <w:rFonts w:ascii="仿宋" w:hAnsi="仿宋" w:eastAsia="仿宋" w:cs="宋体"/>
                <w:sz w:val="16"/>
                <w:szCs w:val="16"/>
              </w:rPr>
            </w:pPr>
            <w:r>
              <w:rPr>
                <w:rFonts w:hint="eastAsia" w:ascii="仿宋" w:hAnsi="仿宋" w:eastAsia="仿宋" w:cs="宋体"/>
                <w:sz w:val="16"/>
                <w:szCs w:val="16"/>
              </w:rPr>
              <w:t xml:space="preserve">　</w:t>
            </w:r>
            <w:r>
              <w:rPr>
                <w:rFonts w:ascii="仿宋" w:hAnsi="仿宋" w:eastAsia="仿宋" w:cs="宋体"/>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center"/>
              <w:rPr>
                <w:rFonts w:ascii="仿宋" w:hAnsi="仿宋" w:eastAsia="仿宋" w:cs="宋体"/>
                <w:sz w:val="16"/>
                <w:szCs w:val="16"/>
              </w:rPr>
            </w:pPr>
            <w:r>
              <w:rPr>
                <w:rFonts w:hint="eastAsia" w:ascii="仿宋" w:hAnsi="仿宋" w:eastAsia="仿宋" w:cs="宋体"/>
                <w:sz w:val="16"/>
                <w:szCs w:val="16"/>
              </w:rPr>
              <w:t xml:space="preserve">其他行政权力</w:t>
            </w:r>
            <w:r>
              <w:rPr>
                <w:rFonts w:ascii="仿宋" w:hAnsi="仿宋" w:eastAsia="仿宋" w:cs="宋体"/>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3"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天水市麦积区文体广电和旅游局</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政务服务管理股</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3685"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《社会艺术水平考级管理办法》（2004年6月2日文化部部务会议通过，自2004年7月1日起施行。根据2017年12月15日发布的《文化部关于废止和修改部分部门规章的决定》（文化部令第57号）修订。）第十七条 艺术考级机构委托承办单位承办艺术考级活动的，应当自合作协议生效之日起20日内，将承办单位的基本情况和合作协议报审批机关及承办单位所在地县级以上文化行政部门备案，同时抄送文化市场综合执法机构。</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widowControl w:val="true"/>
              <w:pBdr/>
              <w:spacing/>
              <w:ind/>
              <w:jc w:val="left"/>
              <w:rPr>
                <w:rFonts w:ascii="仿宋" w:hAnsi="仿宋" w:eastAsia="仿宋" w:cs="宋体"/>
                <w:sz w:val="16"/>
                <w:szCs w:val="16"/>
              </w:rPr>
            </w:pPr>
            <w:r>
              <w:rPr>
                <w:rFonts w:hint="eastAsia" w:ascii="仿宋" w:hAnsi="仿宋" w:eastAsia="仿宋" w:cs="宋体"/>
                <w:sz w:val="16"/>
                <w:szCs w:val="16"/>
              </w:rPr>
              <w:t xml:space="preserve">1.受理阶段责任：公示依法应当提交的材料；一次性告知补正材料；依法受理或不予受理（不予受理应当告知理由）。 2.审查阶段责任：对申请材料进行预审、提出预审意见；对经营场所、营业设施、设备进行现场检查。 3.决定阶段责任：作出行政许可或者不予行政许可决定，法定告知（不予许可的应当书面告知理由）。 4.送达阶段责任：准予许可的制作许可证件，送达并信息公开。 5.事后监管责任：开展定期和不定期检查，根据检查情况，依法采取相关处置措施。 </w:t>
            </w:r>
            <w:r>
              <w:rPr>
                <w:rFonts w:ascii="仿宋" w:hAnsi="仿宋" w:eastAsia="仿宋" w:cs="宋体"/>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pPr>
              <w:widowControl w:val="true"/>
              <w:pBdr/>
              <w:spacing/>
              <w:ind/>
              <w:jc w:val="left"/>
              <w:rPr>
                <w:rFonts w:ascii="仿宋" w:hAnsi="仿宋" w:eastAsia="仿宋" w:cs="宋体"/>
                <w:sz w:val="16"/>
                <w:szCs w:val="16"/>
              </w:rPr>
            </w:pPr>
            <w:r>
              <w:rPr>
                <w:rFonts w:hint="eastAsia" w:ascii="仿宋" w:hAnsi="仿宋" w:eastAsia="仿宋" w:cs="宋体"/>
                <w:sz w:val="16"/>
                <w:szCs w:val="16"/>
              </w:rPr>
              <w:t xml:space="preserve">因不履行或不正确履行行政职责，有下列情形的，行政机关及相关工作人员应承担相应责任：</w:t>
            </w:r>
            <w:r>
              <w:rPr>
                <w:rFonts w:hint="eastAsia" w:ascii="仿宋" w:hAnsi="仿宋" w:eastAsia="仿宋" w:cs="宋体"/>
                <w:sz w:val="16"/>
                <w:szCs w:val="16"/>
              </w:rPr>
              <w:br/>
            </w:r>
            <w:r>
              <w:rPr>
                <w:rFonts w:hint="eastAsia" w:ascii="仿宋" w:hAnsi="仿宋" w:eastAsia="仿宋" w:cs="宋体"/>
                <w:sz w:val="16"/>
                <w:szCs w:val="16"/>
              </w:rPr>
              <w:t xml:space="preserve">1.对符合受理条件而不予受理的；</w:t>
            </w:r>
            <w:r>
              <w:rPr>
                <w:rFonts w:hint="eastAsia" w:ascii="仿宋" w:hAnsi="仿宋" w:eastAsia="仿宋" w:cs="宋体"/>
                <w:sz w:val="16"/>
                <w:szCs w:val="16"/>
              </w:rPr>
              <w:br/>
            </w:r>
            <w:r>
              <w:rPr>
                <w:rFonts w:hint="eastAsia" w:ascii="仿宋" w:hAnsi="仿宋" w:eastAsia="仿宋" w:cs="宋体"/>
                <w:sz w:val="16"/>
                <w:szCs w:val="16"/>
              </w:rPr>
              <w:t xml:space="preserve">2.对不符合受理条件或明知不符合有关法律法规或技术要求而审查通过的；</w:t>
            </w:r>
            <w:r>
              <w:rPr>
                <w:rFonts w:hint="eastAsia" w:ascii="仿宋" w:hAnsi="仿宋" w:eastAsia="仿宋" w:cs="宋体"/>
                <w:sz w:val="16"/>
                <w:szCs w:val="16"/>
              </w:rPr>
              <w:br/>
            </w:r>
            <w:r>
              <w:rPr>
                <w:rFonts w:hint="eastAsia" w:ascii="仿宋" w:hAnsi="仿宋" w:eastAsia="仿宋" w:cs="宋体"/>
                <w:sz w:val="16"/>
                <w:szCs w:val="16"/>
              </w:rPr>
              <w:t xml:space="preserve">3.因未严格审查而产生严重后果的；</w:t>
            </w:r>
            <w:r>
              <w:rPr>
                <w:rFonts w:hint="eastAsia" w:ascii="仿宋" w:hAnsi="仿宋" w:eastAsia="仿宋" w:cs="宋体"/>
                <w:sz w:val="16"/>
                <w:szCs w:val="16"/>
              </w:rPr>
              <w:br/>
            </w:r>
            <w:r>
              <w:rPr>
                <w:rFonts w:hint="eastAsia" w:ascii="仿宋" w:hAnsi="仿宋" w:eastAsia="仿宋" w:cs="宋体"/>
                <w:sz w:val="16"/>
                <w:szCs w:val="16"/>
              </w:rPr>
              <w:t xml:space="preserve">4.在备案中有玩忽职守、滥用职权发生腐败行为的；</w:t>
            </w:r>
            <w:r>
              <w:rPr>
                <w:rFonts w:ascii="仿宋" w:hAnsi="仿宋" w:eastAsia="仿宋" w:cs="宋体"/>
                <w:sz w:val="16"/>
                <w:szCs w:val="16"/>
              </w:rPr>
            </w:r>
          </w:p>
        </w:tc>
      </w:tr>
      <w:tr>
        <w:trPr>
          <w:trHeight w:val="8491"/>
        </w:trPr>
        <w:tc>
          <w:tcPr>
            <w:shd w:val="clear" w:color="auto" w:fill="auto"/>
            <w:tcBorders>
              <w:top w:val="none" w:color="000000" w:sz="4" w:space="0"/>
              <w:left w:val="single" w:color="auto" w:sz="4" w:space="0"/>
              <w:bottom w:val="single" w:color="auto" w:sz="4" w:space="0"/>
              <w:right w:val="single" w:color="auto" w:sz="4" w:space="0"/>
            </w:tcBorders>
            <w:tcW w:w="675"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36</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艺术考级机构在开展艺术考级活动前对考级简章、考级时间、考级地点、考生数量、考场安排、考官名单等情况的备案</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left"/>
              <w:rPr>
                <w:rFonts w:ascii="仿宋" w:hAnsi="仿宋" w:eastAsia="仿宋" w:cs="宋体"/>
                <w:sz w:val="16"/>
                <w:szCs w:val="16"/>
              </w:rPr>
            </w:pPr>
            <w:r>
              <w:rPr>
                <w:rFonts w:hint="eastAsia" w:ascii="仿宋" w:hAnsi="仿宋" w:eastAsia="仿宋" w:cs="宋体"/>
                <w:sz w:val="16"/>
                <w:szCs w:val="16"/>
              </w:rPr>
              <w:t xml:space="preserve">　</w:t>
            </w:r>
            <w:r>
              <w:rPr>
                <w:rFonts w:ascii="仿宋" w:hAnsi="仿宋" w:eastAsia="仿宋" w:cs="宋体"/>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center"/>
              <w:rPr>
                <w:rFonts w:ascii="仿宋" w:hAnsi="仿宋" w:eastAsia="仿宋" w:cs="宋体"/>
                <w:sz w:val="16"/>
                <w:szCs w:val="16"/>
              </w:rPr>
            </w:pPr>
            <w:r>
              <w:rPr>
                <w:rFonts w:hint="eastAsia" w:ascii="仿宋" w:hAnsi="仿宋" w:eastAsia="仿宋" w:cs="宋体"/>
                <w:sz w:val="16"/>
                <w:szCs w:val="16"/>
              </w:rPr>
              <w:t xml:space="preserve">其他行政权力</w:t>
            </w:r>
            <w:r>
              <w:rPr>
                <w:rFonts w:ascii="仿宋" w:hAnsi="仿宋" w:eastAsia="仿宋" w:cs="宋体"/>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3"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天水市麦积区文体广电和旅游局</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政务服务管理股</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3685"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《社会艺术水平考级管理办法》（2004年6月2日文化部部务会议通过，自2004年7月1日起施行。根据2017年12月15日发布的《文化部关于废止和修改部分部门规章的决定》（文化部令第57号）修订。）第十八条 艺术考级机构应当在开展艺术考级活动5日前，将考级简章、考级时间、考级地点、考生数量、考场安排、考官名单等情况报审批机关和艺术考级活动所在地县级以上文化行政部门备案，同时抄送文化市场综合执法机构。</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widowControl w:val="true"/>
              <w:pBdr/>
              <w:spacing/>
              <w:ind/>
              <w:jc w:val="left"/>
              <w:rPr>
                <w:rFonts w:ascii="仿宋" w:hAnsi="仿宋" w:eastAsia="仿宋" w:cs="宋体"/>
                <w:sz w:val="16"/>
                <w:szCs w:val="16"/>
              </w:rPr>
            </w:pPr>
            <w:r>
              <w:rPr>
                <w:rFonts w:hint="eastAsia" w:ascii="仿宋" w:hAnsi="仿宋" w:eastAsia="仿宋" w:cs="宋体"/>
                <w:sz w:val="16"/>
                <w:szCs w:val="16"/>
              </w:rPr>
              <w:t xml:space="preserve">1.受理阶段责任：公示依法应当提交的材料；一次性告知补正材料；依法受理或不予受理（不予受理应当告知理由）。 2.审查阶段责任：对申请材料进行预审、提出预审意见；对经营场所、营业设施、设备进行现场检查。 3.决定阶段责任：作出行政许可或者不予行政许可决定，法定告知（不予许可的应当书面告知理由）。 4.送达阶段责任：准予许可的制作许可证件，送达并信息公开。 5.事后监管责任：开展定期和不定期检查，根据检查情况，依法采取相关处置措施。 </w:t>
            </w:r>
            <w:r>
              <w:rPr>
                <w:rFonts w:ascii="仿宋" w:hAnsi="仿宋" w:eastAsia="仿宋" w:cs="宋体"/>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pPr>
              <w:widowControl w:val="true"/>
              <w:pBdr/>
              <w:spacing/>
              <w:ind/>
              <w:jc w:val="left"/>
              <w:rPr>
                <w:rFonts w:ascii="仿宋" w:hAnsi="仿宋" w:eastAsia="仿宋" w:cs="宋体"/>
                <w:sz w:val="16"/>
                <w:szCs w:val="16"/>
              </w:rPr>
            </w:pPr>
            <w:r>
              <w:rPr>
                <w:rFonts w:hint="eastAsia" w:ascii="仿宋" w:hAnsi="仿宋" w:eastAsia="仿宋" w:cs="宋体"/>
                <w:sz w:val="16"/>
                <w:szCs w:val="16"/>
              </w:rPr>
              <w:t xml:space="preserve">因不履行或不正确履行行政职责，有下列情形的，行政机关及相关工作人员应承担相应责任：</w:t>
            </w:r>
            <w:r>
              <w:rPr>
                <w:rFonts w:hint="eastAsia" w:ascii="仿宋" w:hAnsi="仿宋" w:eastAsia="仿宋" w:cs="宋体"/>
                <w:sz w:val="16"/>
                <w:szCs w:val="16"/>
              </w:rPr>
              <w:br/>
            </w:r>
            <w:r>
              <w:rPr>
                <w:rFonts w:hint="eastAsia" w:ascii="仿宋" w:hAnsi="仿宋" w:eastAsia="仿宋" w:cs="宋体"/>
                <w:sz w:val="16"/>
                <w:szCs w:val="16"/>
              </w:rPr>
              <w:t xml:space="preserve">1.对符合受理条件而不予受理的；</w:t>
            </w:r>
            <w:r>
              <w:rPr>
                <w:rFonts w:hint="eastAsia" w:ascii="仿宋" w:hAnsi="仿宋" w:eastAsia="仿宋" w:cs="宋体"/>
                <w:sz w:val="16"/>
                <w:szCs w:val="16"/>
              </w:rPr>
              <w:br/>
            </w:r>
            <w:r>
              <w:rPr>
                <w:rFonts w:hint="eastAsia" w:ascii="仿宋" w:hAnsi="仿宋" w:eastAsia="仿宋" w:cs="宋体"/>
                <w:sz w:val="16"/>
                <w:szCs w:val="16"/>
              </w:rPr>
              <w:t xml:space="preserve">2.对不符合受理条件或明知不符合有关法律法规或技术要求而审查通过的；</w:t>
            </w:r>
            <w:r>
              <w:rPr>
                <w:rFonts w:hint="eastAsia" w:ascii="仿宋" w:hAnsi="仿宋" w:eastAsia="仿宋" w:cs="宋体"/>
                <w:sz w:val="16"/>
                <w:szCs w:val="16"/>
              </w:rPr>
              <w:br/>
            </w:r>
            <w:r>
              <w:rPr>
                <w:rFonts w:hint="eastAsia" w:ascii="仿宋" w:hAnsi="仿宋" w:eastAsia="仿宋" w:cs="宋体"/>
                <w:sz w:val="16"/>
                <w:szCs w:val="16"/>
              </w:rPr>
              <w:t xml:space="preserve">3.因未严格审查而产生严重后果的；</w:t>
            </w:r>
            <w:r>
              <w:rPr>
                <w:rFonts w:hint="eastAsia" w:ascii="仿宋" w:hAnsi="仿宋" w:eastAsia="仿宋" w:cs="宋体"/>
                <w:sz w:val="16"/>
                <w:szCs w:val="16"/>
              </w:rPr>
              <w:br/>
            </w:r>
            <w:r>
              <w:rPr>
                <w:rFonts w:hint="eastAsia" w:ascii="仿宋" w:hAnsi="仿宋" w:eastAsia="仿宋" w:cs="宋体"/>
                <w:sz w:val="16"/>
                <w:szCs w:val="16"/>
              </w:rPr>
              <w:t xml:space="preserve">4.在备案中有玩忽职守、滥用职权发生腐败行为的；</w:t>
            </w:r>
            <w:r>
              <w:rPr>
                <w:rFonts w:ascii="仿宋" w:hAnsi="仿宋" w:eastAsia="仿宋" w:cs="宋体"/>
                <w:sz w:val="16"/>
                <w:szCs w:val="16"/>
              </w:rPr>
            </w:r>
          </w:p>
        </w:tc>
      </w:tr>
      <w:tr>
        <w:trPr>
          <w:trHeight w:val="8492"/>
        </w:trPr>
        <w:tc>
          <w:tcPr>
            <w:shd w:val="clear" w:color="auto" w:fill="auto"/>
            <w:tcBorders>
              <w:top w:val="none" w:color="000000" w:sz="4" w:space="0"/>
              <w:left w:val="single" w:color="auto" w:sz="4" w:space="0"/>
              <w:bottom w:val="single" w:color="auto" w:sz="4" w:space="0"/>
              <w:right w:val="single" w:color="auto" w:sz="4" w:space="0"/>
            </w:tcBorders>
            <w:tcW w:w="675"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37</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全民健身设施拆迁或者改变用途批准</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　</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其他行政权力</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3"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麦积区文体广电和旅游局</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体育股</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3685" w:type="dxa"/>
            <w:vAlign w:val="center"/>
            <w:textDirection w:val="lrTb"/>
            <w:noWrap w:val="false"/>
          </w:tcPr>
          <w:p>
            <w:pPr>
              <w:widowControl w:val="true"/>
              <w:pBdr/>
              <w:spacing/>
              <w:ind/>
              <w:jc w:val="left"/>
              <w:rPr>
                <w:rFonts w:ascii="仿宋" w:hAnsi="仿宋" w:eastAsia="仿宋" w:cs="宋体"/>
                <w:color w:val="333333"/>
                <w:sz w:val="16"/>
                <w:szCs w:val="16"/>
              </w:rPr>
            </w:pPr>
            <w:r>
              <w:rPr>
                <w:rFonts w:hint="eastAsia" w:ascii="仿宋" w:hAnsi="仿宋" w:eastAsia="仿宋" w:cs="宋体"/>
                <w:color w:val="333333"/>
                <w:sz w:val="16"/>
                <w:szCs w:val="16"/>
              </w:rPr>
              <w:t xml:space="preserve">行政法规】《公共文化体育设施条例》（国务院令第382号）第二十七条 因城乡建设确需拆除公共文化体育设施或者改变其功能、用途的，有关地方人民政府在作出决定前，应当组织专家论证，并征得上一级人民政府文化行政主管部门、体育行政主管部门同意，报上一级人民政府批准。</w:t>
            </w:r>
            <w:r>
              <w:rPr>
                <w:rFonts w:ascii="仿宋" w:hAnsi="仿宋" w:eastAsia="仿宋" w:cs="宋体"/>
                <w:color w:val="333333"/>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1、监督准备阶段责任:依法行使监督职能，对现场进行实地考察，告知监督事项。</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2、审查开始阶段责任:对轻微违法行为提出纠正意见;并查验有关证明材料原件。</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3、监督执行阶段责任:作出行政处罚或者处理决定，告知处理依据，研究处理意见。</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4、完成监督阶段责任:制作文书，反馈并信息公开。</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5、事后监管责任:开展定期和不定期检查，根据监督情况，对执行情况进行督查，依法采取相关处置措施。</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6、其他法律法规规章规定应履行的责任。</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因不履行或不正确履行行政职责，有下列情形的，行政机关及相应工作人员应承担相应责任： 1.对符合法定条件的行政许可申请不予受理的； 2.对不符合法定条件的申请人准予行政许可或者超越法定职权作出准予行政许可决定的； 3.对符合法定条件的申请人不予行政许可或者不在法定期限内作出准予行政许可决定的； 4.不依法履行监管职责和监管不力，发生违法违规经营行为的； 5.违反法定程序实施行政许可的； 6.违规审批、实施监督检查，索取或者收受他人财物或者谋取其他利益； 56.其他违反法律法规规章规定的行为。</w:t>
            </w:r>
            <w:r>
              <w:rPr>
                <w:rFonts w:ascii="仿宋" w:hAnsi="仿宋" w:eastAsia="仿宋" w:cs="宋体"/>
                <w:color w:val="000000"/>
                <w:sz w:val="16"/>
                <w:szCs w:val="16"/>
              </w:rPr>
            </w:r>
          </w:p>
        </w:tc>
      </w:tr>
      <w:tr>
        <w:trPr>
          <w:trHeight w:val="8491"/>
        </w:trPr>
        <w:tc>
          <w:tcPr>
            <w:shd w:val="clear" w:color="auto" w:fill="auto"/>
            <w:tcBorders>
              <w:top w:val="none" w:color="000000" w:sz="4" w:space="0"/>
              <w:left w:val="single" w:color="auto" w:sz="4" w:space="0"/>
              <w:bottom w:val="single" w:color="auto" w:sz="4" w:space="0"/>
              <w:right w:val="single" w:color="auto" w:sz="4" w:space="0"/>
            </w:tcBorders>
            <w:tcW w:w="675"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38</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体育类民办非企业单位申请登记审查</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　</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其他行政权力</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3"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麦积区文体广电和旅游局</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体育股</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3685" w:type="dxa"/>
            <w:vAlign w:val="center"/>
            <w:textDirection w:val="lrTb"/>
            <w:noWrap w:val="false"/>
          </w:tcPr>
          <w:p>
            <w:pPr>
              <w:widowControl w:val="true"/>
              <w:pBdr/>
              <w:spacing/>
              <w:ind/>
              <w:jc w:val="left"/>
              <w:rPr>
                <w:rFonts w:ascii="仿宋" w:hAnsi="仿宋" w:eastAsia="仿宋" w:cs="宋体"/>
                <w:color w:val="333333"/>
                <w:sz w:val="16"/>
                <w:szCs w:val="16"/>
              </w:rPr>
            </w:pPr>
            <w:r>
              <w:rPr>
                <w:rFonts w:hint="eastAsia" w:ascii="仿宋" w:hAnsi="仿宋" w:eastAsia="仿宋" w:cs="宋体"/>
                <w:color w:val="333333"/>
                <w:sz w:val="16"/>
                <w:szCs w:val="16"/>
              </w:rPr>
              <w:t xml:space="preserve">【行政法规】《民办非企业单位登记管理暂行条例》（国务院令第251号）第五条第二款 国务院有关部门和县级以上地方各级人民政府的有关部门、国务院或者县级以上地方各级人民政府授权的组织</w:t>
            </w:r>
            <w:r>
              <w:rPr>
                <w:rFonts w:hint="eastAsia" w:ascii="仿宋" w:hAnsi="仿宋" w:eastAsia="仿宋" w:cs="宋体"/>
                <w:color w:val="333333"/>
                <w:sz w:val="16"/>
                <w:szCs w:val="16"/>
              </w:rPr>
              <w:t xml:space="preserve">，是有关行业、业务范围内民办非企业单位的业务主管单位（以下简称业务主管单位）。 第八条申请登记民办非企业单位，应当具备下列条件： （一）经业务主管单位审查同意； 【规章】《体育类民办非企业单位登记审查与管理暂行办法》（国家体育总局、民政部令第5号）第三条 体育行政部门是体育类民办非企业单位的业务主管单位。国务院体育行政部门负责指导全国体育类民办非企业单位的登记审查工作，并负责在民政部登记的体育类民办非企业单位的登记审查工作。县级以上地方各级人民政府体育行政部门负责本辖区内体育类民办非企业单位的设立审查工作。</w:t>
            </w:r>
            <w:r>
              <w:rPr>
                <w:rFonts w:ascii="仿宋" w:hAnsi="仿宋" w:eastAsia="仿宋" w:cs="宋体"/>
                <w:color w:val="333333"/>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1、监督准备阶段责任:依法行使监督职能，对现场进行实地考察，告知监督事项。</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2、审查开始阶段责任:对轻微违法行为提出纠正意见;并查验有关证明材料原件。</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3、监督执行阶段责任:作出行政处罚或者处理决定，告知处理依据，研究处理意见。</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4、完成监督阶段责任:制作文书，反馈并信息公开。</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5、事后监管责任:开展定期和不定期检查，根据监督情况，对执行情况进行督查，依法采取相关处置措施。</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6、其他法律法规规章规定应履行的责任。</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因不履行或不正确履行行政职责，有下列情形的，行政机关及相应工作人员应承担相应责任： 1.对符合法定条件的行政许可申请不予受理的； 2.对不符合法定条件的申请人准予行政许可或者超越法定职权作出准予行政许可决定的； 3.对符合法定条件的申请人不予行政许可或者不在法定期限内作出准予行政许可决定的； 4.不依法履行监管职责和监管不力，发生违法违规经营行为的； 5.违反法定程序实施行政许可的； 6.违规审批、实施监督检查，索取或者收受他人财物或者谋取其他利益； 55.其他违反法律法规规章规定的行为。</w:t>
            </w:r>
            <w:r>
              <w:rPr>
                <w:rFonts w:ascii="仿宋" w:hAnsi="仿宋" w:eastAsia="仿宋" w:cs="宋体"/>
                <w:color w:val="000000"/>
                <w:sz w:val="16"/>
                <w:szCs w:val="16"/>
              </w:rPr>
            </w:r>
          </w:p>
        </w:tc>
      </w:tr>
      <w:tr>
        <w:trPr>
          <w:trHeight w:val="8491"/>
        </w:trPr>
        <w:tc>
          <w:tcPr>
            <w:shd w:val="clear" w:color="auto" w:fill="auto"/>
            <w:tcBorders>
              <w:top w:val="none" w:color="000000" w:sz="4" w:space="0"/>
              <w:left w:val="single" w:color="auto" w:sz="4" w:space="0"/>
              <w:bottom w:val="single" w:color="auto" w:sz="4" w:space="0"/>
              <w:right w:val="single" w:color="auto" w:sz="4" w:space="0"/>
            </w:tcBorders>
            <w:tcW w:w="675"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39</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对在艺术档案工作中做出显著成绩的单位和个人的表彰和奖励</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left"/>
              <w:rPr>
                <w:rFonts w:ascii="仿宋" w:hAnsi="仿宋" w:eastAsia="仿宋" w:cs="宋体"/>
                <w:sz w:val="16"/>
                <w:szCs w:val="16"/>
              </w:rPr>
            </w:pPr>
            <w:r>
              <w:rPr>
                <w:rFonts w:hint="eastAsia" w:ascii="仿宋" w:hAnsi="仿宋" w:eastAsia="仿宋" w:cs="宋体"/>
                <w:sz w:val="16"/>
                <w:szCs w:val="16"/>
              </w:rPr>
              <w:t xml:space="preserve">　</w:t>
            </w:r>
            <w:r>
              <w:rPr>
                <w:rFonts w:ascii="仿宋" w:hAnsi="仿宋" w:eastAsia="仿宋" w:cs="宋体"/>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center"/>
              <w:rPr>
                <w:rFonts w:ascii="仿宋" w:hAnsi="仿宋" w:eastAsia="仿宋" w:cs="宋体"/>
                <w:sz w:val="16"/>
                <w:szCs w:val="16"/>
              </w:rPr>
            </w:pPr>
            <w:r>
              <w:rPr>
                <w:rFonts w:hint="eastAsia" w:ascii="仿宋" w:hAnsi="仿宋" w:eastAsia="仿宋" w:cs="宋体"/>
                <w:sz w:val="16"/>
                <w:szCs w:val="16"/>
              </w:rPr>
              <w:t xml:space="preserve">行政奖励</w:t>
            </w:r>
            <w:r>
              <w:rPr>
                <w:rFonts w:ascii="仿宋" w:hAnsi="仿宋" w:eastAsia="仿宋" w:cs="宋体"/>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3"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天水市麦积区文体广电和旅游局</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政务服务管理股</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3685"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【规章】《艺术档案管理办法》（文化部、国家档案局令第21号）</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第六条各级文化行政管理部门应当依据《档案法》的有关规定对在艺术档案工作中做出显著成绩的单位和个人，给予表彰和奖励。</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widowControl w:val="true"/>
              <w:pBdr/>
              <w:spacing/>
              <w:ind/>
              <w:jc w:val="left"/>
              <w:rPr>
                <w:rFonts w:ascii="仿宋" w:hAnsi="仿宋" w:eastAsia="仿宋" w:cs="宋体"/>
                <w:sz w:val="16"/>
                <w:szCs w:val="16"/>
              </w:rPr>
            </w:pPr>
            <w:r>
              <w:rPr>
                <w:rFonts w:hint="eastAsia" w:ascii="仿宋" w:hAnsi="仿宋" w:eastAsia="仿宋" w:cs="宋体"/>
                <w:sz w:val="16"/>
                <w:szCs w:val="16"/>
              </w:rPr>
              <w:t xml:space="preserve">1.受理阶段责任：公示依法应当提交的材料；一次性告知补正材料；依法受理或不予受理（不予受理应当告知理由）。 2.审查阶段责任：对申请材料进行预审、提出预审意见；对经营场所、营业设施、设备进行现场检查。 3.决定阶段责任：作出行政许可或者不予行政许可决定，法定告知（不予许可的应当书面告知理由）。 4.送达阶段责任：准予许可的制作许可证件，送达并信息公开。 5.事后监管责任：开展定期和不定期检查，根据检查情况，依法采取相关处置措施。</w:t>
            </w:r>
            <w:r>
              <w:rPr>
                <w:rFonts w:ascii="仿宋" w:hAnsi="仿宋" w:eastAsia="仿宋" w:cs="宋体"/>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pPr>
              <w:widowControl w:val="true"/>
              <w:pBdr/>
              <w:spacing/>
              <w:ind/>
              <w:jc w:val="left"/>
              <w:rPr>
                <w:rFonts w:ascii="仿宋" w:hAnsi="仿宋" w:eastAsia="仿宋" w:cs="宋体"/>
                <w:sz w:val="16"/>
                <w:szCs w:val="16"/>
              </w:rPr>
            </w:pPr>
            <w:r>
              <w:rPr>
                <w:rFonts w:hint="eastAsia" w:ascii="仿宋" w:hAnsi="仿宋" w:eastAsia="仿宋" w:cs="宋体"/>
                <w:sz w:val="16"/>
                <w:szCs w:val="16"/>
              </w:rPr>
              <w:t xml:space="preserve">因不履行或不正确履行行政职责，有下列情形的，行政机关及相应工作人员应承担相应责任： 1.对符合法定条件的行政许可申请不予受理的； 2.对不符合法定条件的申请人准予行政许可或者超越法定职权作出准予行政许可决定的； 3.对符合法定条件的申请人不予行政许可或者不在法定期限内作出准予行政许可决定的； 4.不依法履行监管职责和监管不力，发生违法违规经营行为的； 5.违反法定程序实施行政许可的； 6.违规审批、实施监督检查，索取或者收受他人财物或者谋取其他利益； </w:t>
            </w:r>
            <w:r>
              <w:rPr>
                <w:rFonts w:ascii="仿宋" w:hAnsi="仿宋" w:eastAsia="仿宋" w:cs="宋体"/>
                <w:sz w:val="16"/>
                <w:szCs w:val="16"/>
              </w:rPr>
            </w:r>
          </w:p>
        </w:tc>
      </w:tr>
      <w:tr>
        <w:trPr>
          <w:trHeight w:val="8492"/>
        </w:trPr>
        <w:tc>
          <w:tcPr>
            <w:shd w:val="clear" w:color="auto" w:fill="auto"/>
            <w:tcBorders>
              <w:top w:val="none" w:color="000000" w:sz="4" w:space="0"/>
              <w:left w:val="single" w:color="auto" w:sz="4" w:space="0"/>
              <w:bottom w:val="single" w:color="auto" w:sz="4" w:space="0"/>
              <w:right w:val="single" w:color="auto" w:sz="4" w:space="0"/>
            </w:tcBorders>
            <w:tcW w:w="675"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40</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对在公共文化体育设施的建设、管理和保护工作中做出突出贡献的单位和个人给予奖励</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left"/>
              <w:rPr>
                <w:rFonts w:ascii="仿宋" w:hAnsi="仿宋" w:eastAsia="仿宋" w:cs="宋体"/>
                <w:sz w:val="16"/>
                <w:szCs w:val="16"/>
              </w:rPr>
            </w:pPr>
            <w:r>
              <w:rPr>
                <w:rFonts w:hint="eastAsia" w:ascii="仿宋" w:hAnsi="仿宋" w:eastAsia="仿宋" w:cs="宋体"/>
                <w:sz w:val="16"/>
                <w:szCs w:val="16"/>
              </w:rPr>
              <w:t xml:space="preserve">　</w:t>
            </w:r>
            <w:r>
              <w:rPr>
                <w:rFonts w:ascii="仿宋" w:hAnsi="仿宋" w:eastAsia="仿宋" w:cs="宋体"/>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center"/>
              <w:rPr>
                <w:rFonts w:ascii="仿宋" w:hAnsi="仿宋" w:eastAsia="仿宋" w:cs="宋体"/>
                <w:sz w:val="16"/>
                <w:szCs w:val="16"/>
              </w:rPr>
            </w:pPr>
            <w:r>
              <w:rPr>
                <w:rFonts w:hint="eastAsia" w:ascii="仿宋" w:hAnsi="仿宋" w:eastAsia="仿宋" w:cs="宋体"/>
                <w:sz w:val="16"/>
                <w:szCs w:val="16"/>
              </w:rPr>
              <w:t xml:space="preserve">行政奖励</w:t>
            </w:r>
            <w:r>
              <w:rPr>
                <w:rFonts w:ascii="仿宋" w:hAnsi="仿宋" w:eastAsia="仿宋" w:cs="宋体"/>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3"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天水市麦积区文体广电和旅游局</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政务服务管理股</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3685"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【行政法规】《公共文化体育设施条例》（国务院令第382号）</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第八条对在公共文化体育设施的建设、管理和保护工作中做出突出贡献的单位和个人，由县级以上地方人民政府或者有关部门给予奖励。</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widowControl w:val="true"/>
              <w:pBdr/>
              <w:spacing/>
              <w:ind/>
              <w:jc w:val="left"/>
              <w:rPr>
                <w:rFonts w:ascii="仿宋" w:hAnsi="仿宋" w:eastAsia="仿宋" w:cs="宋体"/>
                <w:sz w:val="16"/>
                <w:szCs w:val="16"/>
              </w:rPr>
            </w:pPr>
            <w:r>
              <w:rPr>
                <w:rFonts w:hint="eastAsia" w:ascii="仿宋" w:hAnsi="仿宋" w:eastAsia="仿宋" w:cs="宋体"/>
                <w:sz w:val="16"/>
                <w:szCs w:val="16"/>
              </w:rPr>
              <w:t xml:space="preserve">1.受理阶段责任：公示依法应当提交的材料；一次性告知补正材料；依法受理或不予受理（不予受理应当告知理由）。 2.审查阶段责任：对申请材料进行预审、提出预审意见；对经营场所、营业设施、设备进行现场检查。 3.决定阶段责任：作出行政许可或者不予行政许可决定，法定告知（不予许可的应当书面告知理由）。 4.送达阶段责任：准予许可的制作许可证件，送达并信息公开。 5.事后监管责任：开展定期和不定期检查，根据检查情况，依法采取相关处置措施。</w:t>
            </w:r>
            <w:r>
              <w:rPr>
                <w:rFonts w:ascii="仿宋" w:hAnsi="仿宋" w:eastAsia="仿宋" w:cs="宋体"/>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pPr>
              <w:widowControl w:val="true"/>
              <w:pBdr/>
              <w:spacing/>
              <w:ind/>
              <w:jc w:val="left"/>
              <w:rPr>
                <w:rFonts w:ascii="仿宋" w:hAnsi="仿宋" w:eastAsia="仿宋" w:cs="宋体"/>
                <w:sz w:val="16"/>
                <w:szCs w:val="16"/>
              </w:rPr>
            </w:pPr>
            <w:r>
              <w:rPr>
                <w:rFonts w:hint="eastAsia" w:ascii="仿宋" w:hAnsi="仿宋" w:eastAsia="仿宋" w:cs="宋体"/>
                <w:sz w:val="16"/>
                <w:szCs w:val="16"/>
              </w:rPr>
              <w:t xml:space="preserve">因不履行或不正确履行行政职责，有下列情形的，行政机关及相应工作人员应承担相应责任： 1.对符合法定条件的行政许可申请不予受理的； 2.对不符合法定条件的申请人准予行政许可或者超越法定职权作出准予行政许可决定的； 3.对符合法定条件的申请人不予行政许可或者不在法定期限内作出准予行政许可决定的； 4.不依法履行监管职责和监管不力，发生违法违规经营行为的； 5.违反法定程序实施行政许可的； 6.违规审批、实施监督检查，索取或者收受他人财物或者谋取其他利益； </w:t>
            </w:r>
            <w:r>
              <w:rPr>
                <w:rFonts w:ascii="仿宋" w:hAnsi="仿宋" w:eastAsia="仿宋" w:cs="宋体"/>
                <w:sz w:val="16"/>
                <w:szCs w:val="16"/>
              </w:rPr>
            </w:r>
          </w:p>
        </w:tc>
      </w:tr>
      <w:tr>
        <w:trPr>
          <w:trHeight w:val="8492"/>
        </w:trPr>
        <w:tc>
          <w:tcPr>
            <w:shd w:val="clear" w:color="auto" w:fill="auto"/>
            <w:tcBorders>
              <w:top w:val="none" w:color="000000" w:sz="4" w:space="0"/>
              <w:left w:val="single" w:color="auto" w:sz="4" w:space="0"/>
              <w:bottom w:val="single" w:color="auto" w:sz="4" w:space="0"/>
              <w:right w:val="single" w:color="auto" w:sz="4" w:space="0"/>
            </w:tcBorders>
            <w:tcW w:w="675"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41</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对作出突出贡献的营业性演出社会义务监督员的表彰</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left"/>
              <w:rPr>
                <w:rFonts w:ascii="仿宋" w:hAnsi="仿宋" w:eastAsia="仿宋" w:cs="宋体"/>
                <w:sz w:val="16"/>
                <w:szCs w:val="16"/>
              </w:rPr>
            </w:pPr>
            <w:r>
              <w:rPr>
                <w:rFonts w:hint="eastAsia" w:ascii="仿宋" w:hAnsi="仿宋" w:eastAsia="仿宋" w:cs="宋体"/>
                <w:sz w:val="16"/>
                <w:szCs w:val="16"/>
              </w:rPr>
              <w:t xml:space="preserve">　</w:t>
            </w:r>
            <w:r>
              <w:rPr>
                <w:rFonts w:ascii="仿宋" w:hAnsi="仿宋" w:eastAsia="仿宋" w:cs="宋体"/>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center"/>
              <w:rPr>
                <w:rFonts w:ascii="仿宋" w:hAnsi="仿宋" w:eastAsia="仿宋" w:cs="宋体"/>
                <w:sz w:val="16"/>
                <w:szCs w:val="16"/>
              </w:rPr>
            </w:pPr>
            <w:r>
              <w:rPr>
                <w:rFonts w:hint="eastAsia" w:ascii="仿宋" w:hAnsi="仿宋" w:eastAsia="仿宋" w:cs="宋体"/>
                <w:sz w:val="16"/>
                <w:szCs w:val="16"/>
              </w:rPr>
              <w:t xml:space="preserve">行政奖励</w:t>
            </w:r>
            <w:r>
              <w:rPr>
                <w:rFonts w:ascii="仿宋" w:hAnsi="仿宋" w:eastAsia="仿宋" w:cs="宋体"/>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3"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天水市麦积区文体广电和旅游局</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政务服务管理股</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3685"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【行政法规】《营业性演出管理条例》(国务院令第528号发布，第666号予以修改)</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第三十五条第三款第一项县级以上地方人民政府文化主管部门对作出突出贡献的社会义务监督员应当给予表彰；公众举报经调查核实的，应当对举报人给予奖励。</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widowControl w:val="true"/>
              <w:pBdr/>
              <w:spacing/>
              <w:ind/>
              <w:jc w:val="left"/>
              <w:rPr>
                <w:rFonts w:ascii="仿宋" w:hAnsi="仿宋" w:eastAsia="仿宋" w:cs="宋体"/>
                <w:sz w:val="16"/>
                <w:szCs w:val="16"/>
              </w:rPr>
            </w:pPr>
            <w:r>
              <w:rPr>
                <w:rFonts w:hint="eastAsia" w:ascii="仿宋" w:hAnsi="仿宋" w:eastAsia="仿宋" w:cs="宋体"/>
                <w:sz w:val="16"/>
                <w:szCs w:val="16"/>
              </w:rPr>
              <w:t xml:space="preserve">1.受理阶段责任：公示依法应当提交的材料；一次性告知补正材料；依法受理或不予受理（不予受理应当告知理由）。 2.审查阶段责任：对申请材料进行预审、提出预审意见；对经营场所、营业设施、设备进行现场检查。 3.决定阶段责任：作出行政许可或者不予行政许可决定，法定告知（不予许可的应当书面告知理由）。 4.送达阶段责任：准予许可的制作许可证件，送达并信息公开。 5.事后监管责任：开展定期和不定期检查，根据检查情况，依法采取相关处置措施。</w:t>
            </w:r>
            <w:r>
              <w:rPr>
                <w:rFonts w:ascii="仿宋" w:hAnsi="仿宋" w:eastAsia="仿宋" w:cs="宋体"/>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pPr>
              <w:widowControl w:val="true"/>
              <w:pBdr/>
              <w:spacing/>
              <w:ind/>
              <w:jc w:val="left"/>
              <w:rPr>
                <w:rFonts w:ascii="仿宋" w:hAnsi="仿宋" w:eastAsia="仿宋" w:cs="宋体"/>
                <w:sz w:val="16"/>
                <w:szCs w:val="16"/>
              </w:rPr>
            </w:pPr>
            <w:r>
              <w:rPr>
                <w:rFonts w:hint="eastAsia" w:ascii="仿宋" w:hAnsi="仿宋" w:eastAsia="仿宋" w:cs="宋体"/>
                <w:sz w:val="16"/>
                <w:szCs w:val="16"/>
              </w:rPr>
              <w:t xml:space="preserve">因不履行或不正确履行行政职责，有下列情形的，行政机关及相应工作人员应承担相应责任： 1.对符合法定条件的行政许可申请不予受理的； 2.对不符合法定条件的申请人准予行政许可或者超越法定职权作出准予行政许可决定的； 3.对符合法定条件的申请人不予行政许可或者不在法定期限内作出准予行政许可决定的； 4.不依法履行监管职责和监管不力，发生违法违规经营行为的； 5.违反法定程序实施行政许可的； 6.违规审批、实施监督检查，索取或者收受他人财物或者谋取其他利益； </w:t>
            </w:r>
            <w:r>
              <w:rPr>
                <w:rFonts w:ascii="仿宋" w:hAnsi="仿宋" w:eastAsia="仿宋" w:cs="宋体"/>
                <w:sz w:val="16"/>
                <w:szCs w:val="16"/>
              </w:rPr>
            </w:r>
          </w:p>
        </w:tc>
      </w:tr>
      <w:tr>
        <w:trPr>
          <w:trHeight w:val="8491"/>
        </w:trPr>
        <w:tc>
          <w:tcPr>
            <w:shd w:val="clear" w:color="auto" w:fill="auto"/>
            <w:tcBorders>
              <w:top w:val="none" w:color="000000" w:sz="4" w:space="0"/>
              <w:left w:val="single" w:color="auto" w:sz="4" w:space="0"/>
              <w:bottom w:val="single" w:color="auto" w:sz="4" w:space="0"/>
              <w:right w:val="single" w:color="auto" w:sz="4" w:space="0"/>
            </w:tcBorders>
            <w:tcW w:w="675"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42</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对营业性演出举报人的奖励</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left"/>
              <w:rPr>
                <w:rFonts w:ascii="仿宋" w:hAnsi="仿宋" w:eastAsia="仿宋" w:cs="宋体"/>
                <w:sz w:val="16"/>
                <w:szCs w:val="16"/>
              </w:rPr>
            </w:pPr>
            <w:r>
              <w:rPr>
                <w:rFonts w:hint="eastAsia" w:ascii="仿宋" w:hAnsi="仿宋" w:eastAsia="仿宋" w:cs="宋体"/>
                <w:sz w:val="16"/>
                <w:szCs w:val="16"/>
              </w:rPr>
              <w:t xml:space="preserve">　</w:t>
            </w:r>
            <w:r>
              <w:rPr>
                <w:rFonts w:ascii="仿宋" w:hAnsi="仿宋" w:eastAsia="仿宋" w:cs="宋体"/>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center"/>
              <w:rPr>
                <w:rFonts w:ascii="仿宋" w:hAnsi="仿宋" w:eastAsia="仿宋" w:cs="宋体"/>
                <w:sz w:val="16"/>
                <w:szCs w:val="16"/>
              </w:rPr>
            </w:pPr>
            <w:r>
              <w:rPr>
                <w:rFonts w:hint="eastAsia" w:ascii="仿宋" w:hAnsi="仿宋" w:eastAsia="仿宋" w:cs="宋体"/>
                <w:sz w:val="16"/>
                <w:szCs w:val="16"/>
              </w:rPr>
              <w:t xml:space="preserve">行政奖励</w:t>
            </w:r>
            <w:r>
              <w:rPr>
                <w:rFonts w:ascii="仿宋" w:hAnsi="仿宋" w:eastAsia="仿宋" w:cs="宋体"/>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3"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天水市麦积区文体广电和旅游局</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政务服务管理股</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3685"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【行政法规】《营业性演出管理条例》(国务院令第528号发布，第666号予以修改)</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第三十五条第三款第二项县级以上地方人民政府文化主管部门对作出突出贡献的社会义务监督员应当给予表彰；公众举报经调查核实的，应当对举报人给予奖励。</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widowControl w:val="true"/>
              <w:pBdr/>
              <w:spacing/>
              <w:ind/>
              <w:jc w:val="left"/>
              <w:rPr>
                <w:rFonts w:ascii="仿宋" w:hAnsi="仿宋" w:eastAsia="仿宋" w:cs="宋体"/>
                <w:sz w:val="16"/>
                <w:szCs w:val="16"/>
              </w:rPr>
            </w:pPr>
            <w:r>
              <w:rPr>
                <w:rFonts w:hint="eastAsia" w:ascii="仿宋" w:hAnsi="仿宋" w:eastAsia="仿宋" w:cs="宋体"/>
                <w:sz w:val="16"/>
                <w:szCs w:val="16"/>
              </w:rPr>
              <w:t xml:space="preserve">1.受理阶段责任：公示依法应当提交的材料；一次性告知补正材料；依法受理或不予受理（不予受理应当告知理由）。 2.审查阶段责任：对申请材料进行预审、提出预审意见；对经营场所、营业设施、设备进行现场检查。 3.决定阶段责任：作出行政许可或者不予行政许可决定，法定告知（不予许可的应当书面告知理由）。 4.送达阶段责任：准予许可的制作许可证件，送达并信息公开。 5.事后监管责任：开展定期和不定期检查，根据检查情况，依法采取相关处置措施。 </w:t>
            </w:r>
            <w:r>
              <w:rPr>
                <w:rFonts w:ascii="仿宋" w:hAnsi="仿宋" w:eastAsia="仿宋" w:cs="宋体"/>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pPr>
              <w:widowControl w:val="true"/>
              <w:pBdr/>
              <w:spacing/>
              <w:ind/>
              <w:jc w:val="left"/>
              <w:rPr>
                <w:rFonts w:ascii="仿宋" w:hAnsi="仿宋" w:eastAsia="仿宋" w:cs="宋体"/>
                <w:sz w:val="16"/>
                <w:szCs w:val="16"/>
              </w:rPr>
            </w:pPr>
            <w:r>
              <w:rPr>
                <w:rFonts w:hint="eastAsia" w:ascii="仿宋" w:hAnsi="仿宋" w:eastAsia="仿宋" w:cs="宋体"/>
                <w:sz w:val="16"/>
                <w:szCs w:val="16"/>
              </w:rPr>
              <w:t xml:space="preserve">因不履行或不正确履行行政职责，有下列情形的，行政机关及相应工作人员应承担相应责任： 1.对符合法定条件的行政许可申请不予受理的； 2.对不符合法定条件的申请人准予行政许可或者超越法定职权作出准予行政许可决定的； 3.对符合法定条件的申请人不予行政许可或者不在法定期限内作出准予行政许可决定的； 4.不依法履行监管职责和监管不力，发生违法违规经营行为的； 5.违反法定程序实施行政许可的； 6.违规审批、实施监督检查，索取或者收受他人财物或者谋取其他利益； </w:t>
            </w:r>
            <w:r>
              <w:rPr>
                <w:rFonts w:ascii="仿宋" w:hAnsi="仿宋" w:eastAsia="仿宋" w:cs="宋体"/>
                <w:sz w:val="16"/>
                <w:szCs w:val="16"/>
              </w:rPr>
            </w:r>
          </w:p>
        </w:tc>
      </w:tr>
      <w:tr>
        <w:trPr>
          <w:trHeight w:val="8491"/>
        </w:trPr>
        <w:tc>
          <w:tcPr>
            <w:shd w:val="clear" w:color="auto" w:fill="auto"/>
            <w:tcBorders>
              <w:top w:val="none" w:color="000000" w:sz="4" w:space="0"/>
              <w:left w:val="single" w:color="auto" w:sz="4" w:space="0"/>
              <w:bottom w:val="single" w:color="auto" w:sz="4" w:space="0"/>
              <w:right w:val="single" w:color="auto" w:sz="4" w:space="0"/>
            </w:tcBorders>
            <w:tcW w:w="675"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43</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全省非遗保护先进单位和先进个人表彰</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　</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行政奖励</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3"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麦积区文体广电和旅游局</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办公室</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3685" w:type="dxa"/>
            <w:vAlign w:val="center"/>
            <w:textDirection w:val="lrTb"/>
            <w:noWrap w:val="false"/>
          </w:tcPr>
          <w:p>
            <w:pPr>
              <w:widowControl w:val="true"/>
              <w:pBdr/>
              <w:spacing/>
              <w:ind/>
              <w:jc w:val="left"/>
              <w:rPr>
                <w:rFonts w:ascii="仿宋" w:hAnsi="仿宋" w:eastAsia="仿宋" w:cs="宋体"/>
                <w:color w:val="333333"/>
                <w:sz w:val="16"/>
                <w:szCs w:val="16"/>
              </w:rPr>
            </w:pPr>
            <w:r>
              <w:rPr>
                <w:rFonts w:hint="eastAsia" w:ascii="仿宋" w:hAnsi="仿宋" w:eastAsia="仿宋" w:cs="宋体"/>
                <w:color w:val="333333"/>
                <w:sz w:val="16"/>
                <w:szCs w:val="16"/>
              </w:rPr>
              <w:t xml:space="preserve">《中华人民共和国非物质文化遗产法》第十条 对在非物质文化遗产保护工作中做出显著贡献的组织和个人，按照国家有关规定予以表彰、奖励； 《甘肃省非物质文化遗产条例》第一章第八条 县级以上人民政府应当对非物质文化遗产保护、保存工作中做出显著成绩的单位和个人予以表彰奖励。</w:t>
            </w:r>
            <w:r>
              <w:rPr>
                <w:rFonts w:ascii="仿宋" w:hAnsi="仿宋" w:eastAsia="仿宋" w:cs="宋体"/>
                <w:color w:val="333333"/>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1.受理阶段责任：公示依法应当提交的材料；一次性告知补正材料；依法受理或不予受理（不予受理应当告知理由）。 2.审查阶段责任：对申请材料进行预审、提出预审意见；对经营场所、营业设施、设备进行现场检查。 3.决定阶段责任：作出行政许可或者不予行政许可决定，法定告知（不予许可的应当书面告知理由）。 4.送达阶段责任：准予许可的制作许可证件，送达并信息公开。 5.事后监管责任：开展定期和不定期检查，根据检查情况，依法采取相关处置措施。 6.其他法律法规规章规定应履行的责任。</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因不履行或不正确履行行政职责，有下列情形的，行政机关及相应工作人员应承担相应责任： 1.对符合法定条件的行政许可申请不予受理的； 2.对不符合法定条件的申请人准予行政许可或者超越法定职权作出准予行政许可决定的； 3.对符合法定条件的申请人不予行政许可或者不在法定期限内作出准予行政许可决定的； 4.不依法履行监管职责和监管不力，发生违法违规经营行为的； 5.违反法定程序实施行政许可的； 6.违规审批、实施监督检查，索取或者收受他人财物或者谋取其他利益； 59.其他违反法律法规规章规定的行为。</w:t>
            </w:r>
            <w:r>
              <w:rPr>
                <w:rFonts w:ascii="仿宋" w:hAnsi="仿宋" w:eastAsia="仿宋" w:cs="宋体"/>
                <w:color w:val="000000"/>
                <w:sz w:val="16"/>
                <w:szCs w:val="16"/>
              </w:rPr>
            </w:r>
          </w:p>
        </w:tc>
      </w:tr>
      <w:tr>
        <w:trPr>
          <w:trHeight w:val="8492"/>
        </w:trPr>
        <w:tc>
          <w:tcPr>
            <w:shd w:val="clear" w:color="auto" w:fill="auto"/>
            <w:tcBorders>
              <w:top w:val="none" w:color="000000" w:sz="4" w:space="0"/>
              <w:left w:val="single" w:color="auto" w:sz="4" w:space="0"/>
              <w:bottom w:val="single" w:color="auto" w:sz="4" w:space="0"/>
              <w:right w:val="single" w:color="auto" w:sz="4" w:space="0"/>
            </w:tcBorders>
            <w:tcW w:w="675"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44</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文物系统先进单位和先进工作者奖励</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　</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行政奖励</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3"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麦积区文体广电和旅游局</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文物股</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3685" w:type="dxa"/>
            <w:vAlign w:val="center"/>
            <w:textDirection w:val="lrTb"/>
            <w:noWrap w:val="false"/>
          </w:tcPr>
          <w:p>
            <w:pPr>
              <w:widowControl w:val="true"/>
              <w:pBdr/>
              <w:spacing/>
              <w:ind/>
              <w:jc w:val="left"/>
              <w:rPr>
                <w:rFonts w:ascii="仿宋" w:hAnsi="仿宋" w:eastAsia="仿宋" w:cs="宋体"/>
                <w:color w:val="333333"/>
                <w:sz w:val="16"/>
                <w:szCs w:val="16"/>
              </w:rPr>
            </w:pPr>
            <w:r>
              <w:rPr>
                <w:rFonts w:hint="eastAsia" w:ascii="仿宋" w:hAnsi="仿宋" w:eastAsia="仿宋" w:cs="宋体"/>
                <w:color w:val="333333"/>
                <w:sz w:val="16"/>
                <w:szCs w:val="16"/>
              </w:rPr>
              <w:t xml:space="preserve">《中华人民共和国文物保护法》第十二条　有下列事迹的单位或者个人，由国家给予精神鼓励或者物质奖励: 　　（一）认真执行文物保护法律、法规，保护文物成绩显著的； 　　（二）为保护文物与违法犯罪行</w:t>
            </w:r>
            <w:r>
              <w:rPr>
                <w:rFonts w:hint="eastAsia" w:ascii="仿宋" w:hAnsi="仿宋" w:eastAsia="仿宋" w:cs="宋体"/>
                <w:color w:val="333333"/>
                <w:sz w:val="16"/>
                <w:szCs w:val="16"/>
              </w:rPr>
              <w:t xml:space="preserve">为作坚决斗争的； 　　（三）将个人收藏的重要文物捐献给国家或者为文物保护事业作出捐赠的； 　　（四）发现文物及时上报或者上交，使文物得到保护的； 　　（五）在考古发掘工作中作出重大贡献的； 　　（六）在文物保护科学技术方面有重要发明创造或者其他重要贡献的； 　　（七）在文物面临破坏危险时，抢救文物有功的； 　　（八）长期从事文物工作，作出显著成绩的。 《中华人民共和国文物保护法实施条例》第六条　有文物保护法第十二条所列事迹之一的单位或者个人，由人民政府及其文物行政主管部门、有关部门给予精神鼓励或者物质奖励。</w:t>
            </w:r>
            <w:r>
              <w:rPr>
                <w:rFonts w:ascii="仿宋" w:hAnsi="仿宋" w:eastAsia="仿宋" w:cs="宋体"/>
                <w:color w:val="333333"/>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1.受理阶段责任：公示依法应当提交的材料；一次性告知补正材料；依法受理或不予受理（不予受理应当告知理由）。 2.审查阶段责任：对申请材料进行预审、提出预审意见；对经营场所、营业设施、设备进行现场检查。 3.决定阶段责任：作出行政许可或者不予行政许可决定，法定告知（不予许可的应当书面告知理由）。 4.送达阶段责任：准予许可的制作许可证件，送达并信息公开。 5.事后监管责任：开展定期和不定期检查，根据检查情况，依法采取相关处置措施。 6.其他法律法规规章规定应履行的责任。</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因不履行或不正确履行行政职责，有下列情形的，行政机关及相应工作人员应承担相应责任： 1.对符合法定条件的行政许可申请不予受理的； 2.对不符合法定条件的申请人准予行政许可或者超越法定职权作出准予行政许可决定的； 3.对符合法定条件的申请人不予行政许可或者不在法定期限内作出准予行政许可决定的； 4.不依法履行监管职责和监管不力，发生违法违规经营行为的； 5.违反法定程序实施行政许可的； 6.违规审批、实施监督检查，索取或者收受他人财物或者谋取其他利益； 68.其他违反法律法规规章规定的行为。</w:t>
            </w:r>
            <w:r>
              <w:rPr>
                <w:rFonts w:ascii="仿宋" w:hAnsi="仿宋" w:eastAsia="仿宋" w:cs="宋体"/>
                <w:color w:val="000000"/>
                <w:sz w:val="16"/>
                <w:szCs w:val="16"/>
              </w:rPr>
            </w:r>
          </w:p>
        </w:tc>
      </w:tr>
      <w:tr>
        <w:trPr>
          <w:trHeight w:val="8492"/>
        </w:trPr>
        <w:tc>
          <w:tcPr>
            <w:shd w:val="clear" w:color="auto" w:fill="auto"/>
            <w:tcBorders>
              <w:top w:val="none" w:color="000000" w:sz="4" w:space="0"/>
              <w:left w:val="single" w:color="auto" w:sz="4" w:space="0"/>
              <w:bottom w:val="single" w:color="auto" w:sz="4" w:space="0"/>
              <w:right w:val="single" w:color="auto" w:sz="4" w:space="0"/>
            </w:tcBorders>
            <w:tcW w:w="675" w:type="dxa"/>
            <w:vAlign w:val="center"/>
            <w:textDirection w:val="lrTb"/>
            <w:noWrap/>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45</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公共体育设施的监管</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　</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行政监督</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3"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天水市麦积区文体广电和旅游局</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政务服务管理股</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3685"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《公共文化体育设施条例》（中华人民共和国国务院令第382号 2003年6月26日） 第七条国务院文化行政主管部门、体育行政主管部门依据国务院规定的职责负责全国的公共文化体育设施的监督管理。县级以上地方人民政府文化行政主管部门、体育行政主管部门依据本级人民政府规定的职责，负责本行政区域内的公共文化体育设施的监督管理。 </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1.监督准备阶段责任:依法行使监督职能，对现场进行实地考察，告知监督事项;</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2.审查开始阶段责任:对轻微违法行为提出纠正意见，并查验有关证明材料原件。</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3.监督执行阶段责任:作出行政处罚或者处理决定，告知处理依据，研究处理意见</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4.完成监督阶段责任:制作文书，反馈并信息公开</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5.事后监管责任:开展定期和不定期检查，根据监督情况，对执行情况进行督查，依法采取相关处置措施 </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因不履行或不正确履行行政监督职责，有下列情形的，行政机关及相关工作人员应承担相应责任:</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1、对发现明显违法的不予查处的；</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2、对不符合条件的事实随意作出监督决定的；</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3、不依法履行监督职责或者监督不力，导致违法行为发生的；</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4、通过监督发现违反法定程序实施行政行为不予纠正的；</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5、监督不及时造成损失、引发群体事件的；</w:t>
            </w:r>
            <w:r>
              <w:rPr>
                <w:rFonts w:ascii="仿宋" w:hAnsi="仿宋" w:eastAsia="仿宋" w:cs="宋体"/>
                <w:color w:val="000000"/>
                <w:sz w:val="16"/>
                <w:szCs w:val="16"/>
              </w:rPr>
            </w:r>
          </w:p>
        </w:tc>
      </w:tr>
      <w:tr>
        <w:trPr>
          <w:trHeight w:val="8208"/>
        </w:trPr>
        <w:tc>
          <w:tcPr>
            <w:shd w:val="clear" w:color="auto" w:fill="auto"/>
            <w:tcBorders>
              <w:top w:val="none" w:color="000000" w:sz="4" w:space="0"/>
              <w:left w:val="single" w:color="auto" w:sz="4" w:space="0"/>
              <w:bottom w:val="single" w:color="auto" w:sz="4" w:space="0"/>
              <w:right w:val="single" w:color="auto" w:sz="4" w:space="0"/>
            </w:tcBorders>
            <w:tcW w:w="675" w:type="dxa"/>
            <w:vAlign w:val="center"/>
            <w:textDirection w:val="lrTb"/>
            <w:noWrap/>
          </w:tcPr>
          <w:p>
            <w:pPr>
              <w:widowControl w:val="true"/>
              <w:pBdr/>
              <w:spacing/>
              <w:ind/>
              <w:jc w:val="center"/>
              <w:rPr>
                <w:rFonts w:ascii="宋体" w:hAnsi="宋体" w:eastAsia="宋体" w:cs="宋体"/>
                <w:color w:val="000000"/>
                <w:sz w:val="16"/>
                <w:szCs w:val="16"/>
              </w:rPr>
            </w:pPr>
            <w:r>
              <w:rPr>
                <w:rFonts w:hint="eastAsia" w:ascii="宋体" w:hAnsi="宋体" w:eastAsia="宋体" w:cs="宋体"/>
                <w:color w:val="000000"/>
                <w:sz w:val="16"/>
                <w:szCs w:val="16"/>
              </w:rPr>
              <w:t xml:space="preserve">46</w:t>
            </w:r>
            <w:r>
              <w:rPr>
                <w:rFonts w:ascii="宋体" w:hAnsi="宋体" w:eastAsia="宋体"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418" w:type="dxa"/>
            <w:vAlign w:val="center"/>
            <w:textDirection w:val="lrTb"/>
            <w:noWrap/>
          </w:tcPr>
          <w:p>
            <w:pPr>
              <w:widowControl w:val="true"/>
              <w:pBdr/>
              <w:spacing/>
              <w:ind/>
              <w:rPr>
                <w:rFonts w:ascii="仿宋" w:hAnsi="仿宋" w:eastAsia="仿宋" w:cs="宋体"/>
                <w:color w:val="000000"/>
                <w:sz w:val="16"/>
                <w:szCs w:val="16"/>
              </w:rPr>
            </w:pPr>
            <w:r>
              <w:rPr>
                <w:rFonts w:hint="eastAsia" w:ascii="仿宋" w:hAnsi="仿宋" w:eastAsia="仿宋" w:cs="宋体"/>
                <w:color w:val="000000"/>
                <w:sz w:val="16"/>
                <w:szCs w:val="16"/>
              </w:rPr>
              <w:t xml:space="preserve">非国有不可移动文物修缮资金给付</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　</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行政给付</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3"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天水市麦积区文体广电和旅游局</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widowControl w:val="true"/>
              <w:pBdr/>
              <w:spacing/>
              <w:ind/>
              <w:jc w:val="center"/>
              <w:rPr>
                <w:rFonts w:ascii="仿宋" w:hAnsi="仿宋" w:eastAsia="仿宋" w:cs="宋体"/>
                <w:color w:val="000000"/>
                <w:sz w:val="16"/>
                <w:szCs w:val="16"/>
              </w:rPr>
            </w:pPr>
            <w:r>
              <w:rPr>
                <w:rFonts w:hint="eastAsia" w:ascii="仿宋" w:hAnsi="仿宋" w:eastAsia="仿宋" w:cs="宋体"/>
                <w:color w:val="000000"/>
                <w:sz w:val="16"/>
                <w:szCs w:val="16"/>
              </w:rPr>
              <w:t xml:space="preserve">文物股</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3685"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1.《中华人民共和国文物保护法》(2002年10月28日第九届全国人大常委会第三十次会议通过，2017年11月4日修正)第二十一条  对文物保护单位进行修缮，应当根据文物保护单位的级别报相应的文物行政部门批准。第二十五条：非国有不可移动文物转让、抵押或者改变用途的，应当根据其级别报相应的文物行政部门备案；由当地人民政府出资帮助修缮的，应当报相应的文物行政部门批准。</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1.受理阶段责任：公示依法应当提交的材料；一次性告知补正材料；依法受理或不予受理（不予受理应告知理由）。</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2.审查阶段责任：对工程立项报告、设计方案、施工技术设计文件等申请材料进行审核。</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3.决定阶段责任：符合条件的予以审批，不符合条件的将材料退回，并告知申请人。</w:t>
            </w:r>
            <w:r>
              <w:rPr>
                <w:rFonts w:ascii="仿宋" w:hAnsi="仿宋" w:eastAsia="仿宋" w:cs="宋体"/>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pPr>
              <w:widowControl w:val="true"/>
              <w:pBdr/>
              <w:spacing/>
              <w:ind/>
              <w:jc w:val="left"/>
              <w:rPr>
                <w:rFonts w:ascii="仿宋" w:hAnsi="仿宋" w:eastAsia="仿宋" w:cs="宋体"/>
                <w:color w:val="000000"/>
                <w:sz w:val="16"/>
                <w:szCs w:val="16"/>
              </w:rPr>
            </w:pPr>
            <w:r>
              <w:rPr>
                <w:rFonts w:hint="eastAsia" w:ascii="仿宋" w:hAnsi="仿宋" w:eastAsia="仿宋" w:cs="宋体"/>
                <w:color w:val="000000"/>
                <w:sz w:val="16"/>
                <w:szCs w:val="16"/>
              </w:rPr>
              <w:t xml:space="preserve">因不履行或不正确履行行政职责，有下列情形，行政机关及相关工作人员应承担相应责任：</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1.对符合法定条件的行政许可申请不予受理的；</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2.对不符合法定条件的申请人准予行政许可，或者超越法定职权做出准予行政许可的；</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3.对符合法定条件的申请人不予行政许可或不在法定期限内做出准予行政许可的；</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4.违反法定程序实施许可的；</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5.办理许可、实施监督检查，索取或者收受他人财物或者谋取其他利益的；</w:t>
            </w:r>
            <w:r>
              <w:rPr>
                <w:rFonts w:hint="eastAsia" w:ascii="仿宋" w:hAnsi="仿宋" w:eastAsia="仿宋" w:cs="宋体"/>
                <w:color w:val="000000"/>
                <w:sz w:val="16"/>
                <w:szCs w:val="16"/>
              </w:rPr>
              <w:br/>
            </w:r>
            <w:r>
              <w:rPr>
                <w:rFonts w:hint="eastAsia" w:ascii="仿宋" w:hAnsi="仿宋" w:eastAsia="仿宋" w:cs="宋体"/>
                <w:color w:val="000000"/>
                <w:sz w:val="16"/>
                <w:szCs w:val="16"/>
              </w:rPr>
              <w:t xml:space="preserve">6.其他违反法律法规规章的行为。</w:t>
            </w:r>
            <w:r>
              <w:rPr>
                <w:rFonts w:ascii="仿宋" w:hAnsi="仿宋" w:eastAsia="仿宋" w:cs="宋体"/>
                <w:color w:val="000000"/>
                <w:sz w:val="16"/>
                <w:szCs w:val="16"/>
              </w:rPr>
            </w:r>
          </w:p>
        </w:tc>
      </w:tr>
    </w:tbl>
    <w:p>
      <w:pPr>
        <w:widowControl w:val="true"/>
        <w:pBdr/>
        <w:spacing/>
        <w:ind/>
        <w:rPr>
          <w:szCs w:val="31"/>
        </w:rPr>
        <w:sectPr>
          <w:footerReference w:type="default" r:id="rId9"/>
          <w:footerReference w:type="even" r:id="rId10"/>
          <w:footnotePr/>
          <w:endnotePr/>
          <w:type w:val="nextPage"/>
          <w:pgSz w:h="11907" w:orient="portrait" w:w="16839"/>
          <w:pgMar w:top="1531" w:right="2098" w:bottom="1531" w:left="6237" w:header="851" w:footer="1418" w:gutter="0"/>
          <w:cols w:num="1" w:sep="0" w:space="720" w:equalWidth="1"/>
        </w:sectPr>
      </w:pPr>
      <w:r/>
      <w:bookmarkStart w:id="0" w:name="_GoBack"/>
      <w:r/>
      <w:bookmarkEnd w:id="0"/>
      <w:r/>
      <w:r>
        <w:rPr>
          <w:szCs w:val="31"/>
        </w:rPr>
      </w:r>
    </w:p>
    <w:p>
      <w:pPr>
        <w:pBdr/>
        <w:spacing/>
        <w:ind/>
        <w:rPr/>
      </w:pPr>
      <w:r/>
      <w:r/>
    </w:p>
    <w:sectPr>
      <w:footnotePr/>
      <w:endnotePr/>
      <w:type w:val="nextPage"/>
      <w:pgSz w:h="16839" w:orient="landscape" w:w="11907"/>
      <w:pgMar w:top="2098" w:right="1531" w:bottom="1985" w:left="1531" w:header="851" w:footer="1418" w:gutter="0"/>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r>
        <w:separator/>
      </w:r>
      <w:r/>
    </w:p>
  </w:endnote>
  <w:endnote w:type="continuationSeparator" w:id="0">
    <w:p>
      <w:pPr>
        <w:pBdr/>
        <w:spacing w:after="0" w:line="240" w:lineRule="auto"/>
        <w:ind/>
        <w:rPr/>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宋体">
    <w:panose1 w:val="02010600030101010101"/>
  </w:font>
  <w:font w:name="等线 Light">
    <w:panose1 w:val="02010600030101010101"/>
  </w:font>
  <w:font w:name="黑体">
    <w:panose1 w:val="02010609060101010101"/>
  </w:font>
  <w:font w:name="方正小标宋简体">
    <w:panose1 w:val="02010601030101010101"/>
  </w:font>
  <w:font w:name="仿宋_GB2312">
    <w:panose1 w:val="02010609030101010101"/>
  </w:font>
  <w:font w:name="Arial">
    <w:panose1 w:val="020B0604020202020204"/>
  </w:font>
  <w:font w:name="方正公文仿宋">
    <w:panose1 w:val="020B0604020202020204"/>
  </w:font>
  <w:font w:name="等线">
    <w:panose1 w:val="02010600030101010101"/>
  </w:font>
  <w:font w:name="楷体_GB2312">
    <w:panose1 w:val="02010609030101010101"/>
  </w:font>
  <w:font w:name="仿宋">
    <w:panose1 w:val="02010609060101010101"/>
  </w:font>
  <w:font w:name="Times New Roman">
    <w:panose1 w:val="020206030504050203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668"/>
      <w:pBdr/>
      <w:spacing/>
      <w:ind w:right="320" w:firstLine="560"/>
      <w:jc w:val="right"/>
      <w:rPr>
        <w:rFonts w:ascii="宋体" w:hAnsi="宋体" w:eastAsia="宋体"/>
        <w:sz w:val="28"/>
      </w:rPr>
    </w:pPr>
    <w:r>
      <w:rPr>
        <w:rStyle w:val="677"/>
        <w:rFonts w:ascii="宋体" w:hAnsi="宋体" w:eastAsia="宋体"/>
        <w:sz w:val="28"/>
      </w:rPr>
      <w:t xml:space="preserve">—</w:t>
    </w:r>
    <w:r>
      <w:rPr>
        <w:rFonts w:ascii="宋体" w:hAnsi="宋体" w:eastAsia="宋体"/>
        <w:sz w:val="28"/>
      </w:rPr>
      <w:t xml:space="preserve"> </w:t>
    </w:r>
    <w:r>
      <w:rPr>
        <w:rFonts w:ascii="宋体" w:hAnsi="宋体" w:eastAsia="宋体"/>
        <w:sz w:val="28"/>
      </w:rPr>
      <w:fldChar w:fldCharType="begin"/>
    </w:r>
    <w:r>
      <w:rPr>
        <w:rStyle w:val="677"/>
        <w:rFonts w:ascii="宋体" w:hAnsi="宋体" w:eastAsia="宋体"/>
        <w:sz w:val="28"/>
      </w:rPr>
      <w:instrText xml:space="preserve"> PAGE </w:instrText>
    </w:r>
    <w:r>
      <w:rPr>
        <w:rFonts w:ascii="宋体" w:hAnsi="宋体" w:eastAsia="宋体"/>
        <w:sz w:val="28"/>
      </w:rPr>
      <w:fldChar w:fldCharType="separate"/>
    </w:r>
    <w:r>
      <w:rPr>
        <w:rStyle w:val="677"/>
        <w:rFonts w:ascii="宋体" w:hAnsi="宋体" w:eastAsia="宋体"/>
        <w:sz w:val="28"/>
      </w:rPr>
      <w:t xml:space="preserve">7</w:t>
    </w:r>
    <w:r>
      <w:rPr>
        <w:rFonts w:ascii="宋体" w:hAnsi="宋体" w:eastAsia="宋体"/>
        <w:sz w:val="28"/>
      </w:rPr>
      <w:fldChar w:fldCharType="end"/>
    </w:r>
    <w:r>
      <w:rPr>
        <w:rFonts w:ascii="宋体" w:hAnsi="宋体" w:eastAsia="宋体"/>
        <w:sz w:val="28"/>
      </w:rPr>
      <w:t xml:space="preserve"> </w:t>
    </w:r>
    <w:r>
      <w:rPr>
        <w:rStyle w:val="677"/>
        <w:rFonts w:ascii="宋体" w:hAnsi="宋体" w:eastAsia="宋体"/>
        <w:sz w:val="28"/>
      </w:rPr>
      <w:t xml:space="preserve">—</w:t>
    </w:r>
    <w:r>
      <w:rPr>
        <w:rFonts w:ascii="宋体" w:hAnsi="宋体" w:eastAsia="宋体"/>
        <w:sz w:val="28"/>
      </w:rP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668"/>
      <w:pBdr/>
      <w:spacing/>
      <w:ind w:left="320"/>
      <w:jc w:val="left"/>
      <w:rPr>
        <w:rFonts w:ascii="宋体" w:hAnsi="宋体" w:eastAsia="宋体"/>
        <w:sz w:val="28"/>
      </w:rPr>
    </w:pPr>
    <w:r>
      <w:rPr>
        <w:rStyle w:val="677"/>
        <w:rFonts w:ascii="宋体" w:hAnsi="宋体" w:eastAsia="宋体"/>
        <w:sz w:val="28"/>
      </w:rPr>
      <w:t xml:space="preserve">—</w:t>
    </w:r>
    <w:r>
      <w:rPr>
        <w:rFonts w:ascii="宋体" w:hAnsi="宋体" w:eastAsia="宋体"/>
        <w:sz w:val="28"/>
      </w:rPr>
      <w:t xml:space="preserve"> </w:t>
    </w:r>
    <w:r>
      <w:rPr>
        <w:rFonts w:ascii="宋体" w:hAnsi="宋体" w:eastAsia="宋体"/>
        <w:sz w:val="28"/>
      </w:rPr>
      <w:fldChar w:fldCharType="begin"/>
    </w:r>
    <w:r>
      <w:rPr>
        <w:rStyle w:val="677"/>
        <w:rFonts w:ascii="宋体" w:hAnsi="宋体" w:eastAsia="宋体"/>
        <w:sz w:val="28"/>
      </w:rPr>
      <w:instrText xml:space="preserve"> PAGE </w:instrText>
    </w:r>
    <w:r>
      <w:rPr>
        <w:rFonts w:ascii="宋体" w:hAnsi="宋体" w:eastAsia="宋体"/>
        <w:sz w:val="28"/>
      </w:rPr>
      <w:fldChar w:fldCharType="separate"/>
    </w:r>
    <w:r>
      <w:rPr>
        <w:rStyle w:val="677"/>
        <w:rFonts w:ascii="宋体" w:hAnsi="宋体" w:eastAsia="宋体"/>
        <w:sz w:val="28"/>
      </w:rPr>
      <w:t xml:space="preserve">6</w:t>
    </w:r>
    <w:r>
      <w:rPr>
        <w:rFonts w:ascii="宋体" w:hAnsi="宋体" w:eastAsia="宋体"/>
        <w:sz w:val="28"/>
      </w:rPr>
      <w:fldChar w:fldCharType="end"/>
    </w:r>
    <w:r>
      <w:rPr>
        <w:rFonts w:ascii="宋体" w:hAnsi="宋体" w:eastAsia="宋体"/>
        <w:sz w:val="28"/>
      </w:rPr>
      <w:t xml:space="preserve"> </w:t>
    </w:r>
    <w:r>
      <w:rPr>
        <w:rStyle w:val="677"/>
        <w:rFonts w:ascii="宋体" w:hAnsi="宋体" w:eastAsia="宋体"/>
        <w:sz w:val="28"/>
      </w:rPr>
      <w:t xml:space="preserve">—</w:t>
    </w:r>
    <w:r>
      <w:rPr>
        <w:rFonts w:ascii="宋体" w:hAnsi="宋体" w:eastAsia="宋体"/>
        <w:sz w:val="28"/>
      </w:rP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r>
        <w:separator/>
      </w:r>
      <w:r/>
    </w:p>
  </w:footnote>
  <w:footnote w:type="continuationSeparator" w:id="0">
    <w:p>
      <w:pPr>
        <w:pBdr/>
        <w:spacing w:after="0" w:line="240" w:lineRule="auto"/>
        <w:ind/>
        <w:rPr/>
      </w:pPr>
      <w: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1."/>
      <w:numFmt w:val="decimal"/>
      <w:pPr>
        <w:pBdr/>
        <w:spacing/>
        <w:ind w:firstLine="0" w:left="0"/>
      </w:pPr>
      <w:pStyle w:val="661"/>
      <w:rPr>
        <w:rFonts w:ascii="Times New Roman" w:hAnsi="Times New Roman" w:cs="Times New Roman"/>
        <w:b w:val="0"/>
        <w:bCs w:val="0"/>
        <w:i w:val="0"/>
        <w:iCs w:val="0"/>
        <w:caps w:val="0"/>
        <w:smallCaps w:val="0"/>
        <w:strike w:val="0"/>
        <w:vanish w:val="0"/>
        <w:color w:val="000000"/>
        <w:spacing w:val="0"/>
        <w:position w:val="0"/>
        <w:sz w:val="0"/>
        <w:szCs w:val="0"/>
        <w:u w:val="none"/>
        <w:shd w:val="clear" w:color="000000" w:fill="000000"/>
        <w:vertAlign w:val="baseline"/>
        <w:lang w:val="zh-CN" w:eastAsia="zh-CN" w:bidi="zh-CN"/>
      </w:rPr>
      <w:start w:val="1"/>
      <w:suff w:val="tab"/>
    </w:lvl>
    <w:lvl w:ilvl="1">
      <w:isLgl w:val="false"/>
      <w:lvlJc w:val="left"/>
      <w:lvlText w:val="%2)"/>
      <w:numFmt w:val="lowerLetter"/>
      <w:pPr>
        <w:pBdr/>
        <w:spacing/>
        <w:ind w:hanging="420" w:left="840"/>
      </w:pPr>
      <w:rPr/>
      <w:start w:val="1"/>
      <w:suff w:val="space"/>
    </w:lvl>
    <w:lvl w:ilvl="2">
      <w:isLgl w:val="false"/>
      <w:lvlJc w:val="right"/>
      <w:lvlText w:val="%3."/>
      <w:numFmt w:val="lowerRoman"/>
      <w:pPr>
        <w:pBdr/>
        <w:spacing/>
        <w:ind w:hanging="420" w:left="1260"/>
      </w:pPr>
      <w:rPr/>
      <w:start w:val="1"/>
      <w:suff w:val="space"/>
    </w:lvl>
    <w:lvl w:ilvl="3">
      <w:isLgl w:val="false"/>
      <w:lvlJc w:val="left"/>
      <w:lvlText w:val="%4."/>
      <w:numFmt w:val="decimal"/>
      <w:pPr>
        <w:pBdr/>
        <w:spacing/>
        <w:ind w:hanging="420" w:left="1680"/>
      </w:pPr>
      <w:rPr/>
      <w:start w:val="1"/>
      <w:suff w:val="space"/>
    </w:lvl>
    <w:lvl w:ilvl="4">
      <w:isLgl w:val="false"/>
      <w:lvlJc w:val="left"/>
      <w:lvlText w:val="%5)"/>
      <w:numFmt w:val="lowerLetter"/>
      <w:pPr>
        <w:pBdr/>
        <w:spacing/>
        <w:ind w:hanging="420" w:left="2100"/>
      </w:pPr>
      <w:rPr/>
      <w:start w:val="1"/>
      <w:suff w:val="space"/>
    </w:lvl>
    <w:lvl w:ilvl="5">
      <w:isLgl w:val="false"/>
      <w:lvlJc w:val="right"/>
      <w:lvlText w:val="%6."/>
      <w:numFmt w:val="lowerRoman"/>
      <w:pPr>
        <w:pBdr/>
        <w:spacing/>
        <w:ind w:hanging="420" w:left="2520"/>
      </w:pPr>
      <w:rPr/>
      <w:start w:val="1"/>
      <w:suff w:val="space"/>
    </w:lvl>
    <w:lvl w:ilvl="6">
      <w:isLgl w:val="false"/>
      <w:lvlJc w:val="left"/>
      <w:lvlText w:val="%7."/>
      <w:numFmt w:val="decimal"/>
      <w:pPr>
        <w:pBdr/>
        <w:spacing/>
        <w:ind w:hanging="420" w:left="2940"/>
      </w:pPr>
      <w:rPr/>
      <w:start w:val="1"/>
      <w:suff w:val="space"/>
    </w:lvl>
    <w:lvl w:ilvl="7">
      <w:isLgl w:val="false"/>
      <w:lvlJc w:val="left"/>
      <w:lvlText w:val="%8)"/>
      <w:numFmt w:val="lowerLetter"/>
      <w:pPr>
        <w:pBdr/>
        <w:spacing/>
        <w:ind w:hanging="420" w:left="3360"/>
      </w:pPr>
      <w:rPr/>
      <w:start w:val="1"/>
      <w:suff w:val="space"/>
    </w:lvl>
    <w:lvl w:ilvl="8">
      <w:isLgl w:val="false"/>
      <w:lvlJc w:val="right"/>
      <w:lvlText w:val="%9."/>
      <w:numFmt w:val="lowerRoman"/>
      <w:pPr>
        <w:pBdr/>
        <w:spacing/>
        <w:ind w:hanging="420" w:left="3780"/>
      </w:pPr>
      <w:rPr/>
      <w:start w:val="1"/>
      <w:suff w:val="space"/>
    </w:lvl>
  </w:abstractNum>
  <w:abstractNum w:abstractNumId="1">
    <w:lvl w:ilvl="0">
      <w:isLgl w:val="false"/>
      <w:lvlJc w:val="left"/>
      <w:lvlText w:val="（%1）"/>
      <w:numFmt w:val="decimal"/>
      <w:pPr>
        <w:pBdr/>
        <w:spacing/>
        <w:ind w:firstLine="0" w:left="0"/>
      </w:pPr>
      <w:pStyle w:val="672"/>
      <w:rPr>
        <w:rFonts w:ascii="Times New Roman" w:hAnsi="Times New Roman" w:cs="Times New Roman"/>
        <w:b w:val="0"/>
        <w:bCs w:val="0"/>
        <w:i w:val="0"/>
        <w:iCs w:val="0"/>
        <w:caps w:val="0"/>
        <w:smallCaps w:val="0"/>
        <w:strike w:val="0"/>
        <w:vanish w:val="0"/>
        <w:color w:val="000000"/>
        <w:spacing w:val="0"/>
        <w:position w:val="0"/>
        <w:sz w:val="0"/>
        <w:szCs w:val="0"/>
        <w:u w:val="none"/>
        <w:shd w:val="clear" w:color="000000" w:fill="000000"/>
        <w:vertAlign w:val="baseline"/>
        <w:lang w:val="zh-CN" w:eastAsia="zh-CN" w:bidi="zh-CN"/>
      </w:rPr>
      <w:start w:val="1"/>
      <w:suff w:val="nothing"/>
    </w:lvl>
    <w:lvl w:ilvl="1">
      <w:isLgl w:val="false"/>
      <w:lvlJc w:val="left"/>
      <w:lvlText w:val="%2)"/>
      <w:numFmt w:val="lowerLetter"/>
      <w:pPr>
        <w:pBdr/>
        <w:spacing/>
        <w:ind w:hanging="420" w:left="840"/>
      </w:pPr>
      <w:rPr/>
      <w:start w:val="1"/>
      <w:suff w:val="space"/>
    </w:lvl>
    <w:lvl w:ilvl="2">
      <w:isLgl w:val="false"/>
      <w:lvlJc w:val="right"/>
      <w:lvlText w:val="%3."/>
      <w:numFmt w:val="lowerRoman"/>
      <w:pPr>
        <w:pBdr/>
        <w:spacing/>
        <w:ind w:hanging="420" w:left="1260"/>
      </w:pPr>
      <w:rPr/>
      <w:start w:val="1"/>
      <w:suff w:val="space"/>
    </w:lvl>
    <w:lvl w:ilvl="3">
      <w:isLgl w:val="false"/>
      <w:lvlJc w:val="left"/>
      <w:lvlText w:val="%4."/>
      <w:numFmt w:val="decimal"/>
      <w:pPr>
        <w:pBdr/>
        <w:spacing/>
        <w:ind w:hanging="420" w:left="1680"/>
      </w:pPr>
      <w:rPr/>
      <w:start w:val="1"/>
      <w:suff w:val="space"/>
    </w:lvl>
    <w:lvl w:ilvl="4">
      <w:isLgl w:val="false"/>
      <w:lvlJc w:val="left"/>
      <w:lvlText w:val="%5)"/>
      <w:numFmt w:val="lowerLetter"/>
      <w:pPr>
        <w:pBdr/>
        <w:spacing/>
        <w:ind w:hanging="420" w:left="2100"/>
      </w:pPr>
      <w:rPr/>
      <w:start w:val="1"/>
      <w:suff w:val="space"/>
    </w:lvl>
    <w:lvl w:ilvl="5">
      <w:isLgl w:val="false"/>
      <w:lvlJc w:val="right"/>
      <w:lvlText w:val="%6."/>
      <w:numFmt w:val="lowerRoman"/>
      <w:pPr>
        <w:pBdr/>
        <w:spacing/>
        <w:ind w:hanging="420" w:left="2520"/>
      </w:pPr>
      <w:rPr/>
      <w:start w:val="1"/>
      <w:suff w:val="space"/>
    </w:lvl>
    <w:lvl w:ilvl="6">
      <w:isLgl w:val="false"/>
      <w:lvlJc w:val="left"/>
      <w:lvlText w:val="%7."/>
      <w:numFmt w:val="decimal"/>
      <w:pPr>
        <w:pBdr/>
        <w:spacing/>
        <w:ind w:hanging="420" w:left="2940"/>
      </w:pPr>
      <w:rPr/>
      <w:start w:val="1"/>
      <w:suff w:val="space"/>
    </w:lvl>
    <w:lvl w:ilvl="7">
      <w:isLgl w:val="false"/>
      <w:lvlJc w:val="left"/>
      <w:lvlText w:val="%8)"/>
      <w:numFmt w:val="lowerLetter"/>
      <w:pPr>
        <w:pBdr/>
        <w:spacing/>
        <w:ind w:hanging="420" w:left="3360"/>
      </w:pPr>
      <w:rPr/>
      <w:start w:val="1"/>
      <w:suff w:val="space"/>
    </w:lvl>
    <w:lvl w:ilvl="8">
      <w:isLgl w:val="false"/>
      <w:lvlJc w:val="right"/>
      <w:lvlText w:val="%9."/>
      <w:numFmt w:val="lowerRoman"/>
      <w:pPr>
        <w:pBdr/>
        <w:spacing/>
        <w:ind w:hanging="420" w:left="3780"/>
      </w:pPr>
      <w:rPr/>
      <w:start w:val="1"/>
      <w:suff w:val="space"/>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val="true"/>
  <w:mirrorMargins w:val="true"/>
  <w:trackRevisions w:val="false"/>
  <w:documentProtection w:enforcement="0"/>
  <w:defaultTabStop w:val="316"/>
  <w:evenAndOddHeaders w:val="true"/>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balanceSingleByteDoubleByteWidth w:val="true"/>
    <w:ulTrailSpace w:val="true"/>
    <w:doNotExpandShiftReturn w:val="true"/>
    <w:useFELayout w:val="tru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imes New Roman" w:hAnsi="Times New Roman" w:eastAsia="仿宋" w:cs="Times New Roman"/>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14">
    <w:name w:val="Heading 1 Char"/>
    <w:basedOn w:val="662"/>
    <w:link w:val="659"/>
    <w:uiPriority w:val="9"/>
    <w:pPr>
      <w:pBdr/>
      <w:spacing/>
      <w:ind/>
    </w:pPr>
    <w:rPr>
      <w:rFonts w:ascii="等线" w:hAnsi="等线" w:eastAsia="等线" w:cs="等线"/>
      <w:sz w:val="40"/>
      <w:szCs w:val="40"/>
    </w:rPr>
  </w:style>
  <w:style w:type="character" w:styleId="16">
    <w:name w:val="Heading 2 Char"/>
    <w:basedOn w:val="662"/>
    <w:link w:val="660"/>
    <w:uiPriority w:val="9"/>
    <w:pPr>
      <w:pBdr/>
      <w:spacing/>
      <w:ind/>
    </w:pPr>
    <w:rPr>
      <w:rFonts w:ascii="等线" w:hAnsi="等线" w:eastAsia="等线" w:cs="等线"/>
      <w:sz w:val="34"/>
    </w:rPr>
  </w:style>
  <w:style w:type="character" w:styleId="18">
    <w:name w:val="Heading 3 Char"/>
    <w:basedOn w:val="662"/>
    <w:link w:val="661"/>
    <w:uiPriority w:val="9"/>
    <w:pPr>
      <w:pBdr/>
      <w:spacing/>
      <w:ind/>
    </w:pPr>
    <w:rPr>
      <w:rFonts w:ascii="等线" w:hAnsi="等线" w:eastAsia="等线" w:cs="等线"/>
      <w:sz w:val="30"/>
      <w:szCs w:val="30"/>
    </w:rPr>
  </w:style>
  <w:style w:type="paragraph" w:styleId="19">
    <w:name w:val="Heading 4"/>
    <w:basedOn w:val="658"/>
    <w:next w:val="658"/>
    <w:link w:val="20"/>
    <w:uiPriority w:val="9"/>
    <w:unhideWhenUsed/>
    <w:qFormat/>
    <w:pPr>
      <w:keepNext w:val="true"/>
      <w:keepLines w:val="true"/>
      <w:pBdr/>
      <w:spacing w:after="200" w:before="320"/>
      <w:ind/>
      <w:outlineLvl w:val="3"/>
    </w:pPr>
    <w:rPr>
      <w:rFonts w:ascii="等线" w:hAnsi="等线" w:eastAsia="等线" w:cs="等线"/>
      <w:b/>
      <w:bCs/>
      <w:sz w:val="26"/>
      <w:szCs w:val="26"/>
    </w:rPr>
  </w:style>
  <w:style w:type="character" w:styleId="20">
    <w:name w:val="Heading 4 Char"/>
    <w:basedOn w:val="662"/>
    <w:link w:val="19"/>
    <w:uiPriority w:val="9"/>
    <w:pPr>
      <w:pBdr/>
      <w:spacing/>
      <w:ind/>
    </w:pPr>
    <w:rPr>
      <w:rFonts w:ascii="等线" w:hAnsi="等线" w:eastAsia="等线" w:cs="等线"/>
      <w:b/>
      <w:bCs/>
      <w:sz w:val="26"/>
      <w:szCs w:val="26"/>
    </w:rPr>
  </w:style>
  <w:style w:type="paragraph" w:styleId="21">
    <w:name w:val="Heading 5"/>
    <w:basedOn w:val="658"/>
    <w:next w:val="658"/>
    <w:link w:val="22"/>
    <w:uiPriority w:val="9"/>
    <w:unhideWhenUsed/>
    <w:qFormat/>
    <w:pPr>
      <w:keepNext w:val="true"/>
      <w:keepLines w:val="true"/>
      <w:pBdr/>
      <w:spacing w:after="200" w:before="320"/>
      <w:ind/>
      <w:outlineLvl w:val="4"/>
    </w:pPr>
    <w:rPr>
      <w:rFonts w:ascii="等线" w:hAnsi="等线" w:eastAsia="等线" w:cs="等线"/>
      <w:b/>
      <w:bCs/>
      <w:sz w:val="24"/>
      <w:szCs w:val="24"/>
    </w:rPr>
  </w:style>
  <w:style w:type="character" w:styleId="22">
    <w:name w:val="Heading 5 Char"/>
    <w:basedOn w:val="662"/>
    <w:link w:val="21"/>
    <w:uiPriority w:val="9"/>
    <w:pPr>
      <w:pBdr/>
      <w:spacing/>
      <w:ind/>
    </w:pPr>
    <w:rPr>
      <w:rFonts w:ascii="等线" w:hAnsi="等线" w:eastAsia="等线" w:cs="等线"/>
      <w:b/>
      <w:bCs/>
      <w:sz w:val="24"/>
      <w:szCs w:val="24"/>
    </w:rPr>
  </w:style>
  <w:style w:type="paragraph" w:styleId="23">
    <w:name w:val="Heading 6"/>
    <w:basedOn w:val="658"/>
    <w:next w:val="658"/>
    <w:link w:val="24"/>
    <w:uiPriority w:val="9"/>
    <w:unhideWhenUsed/>
    <w:qFormat/>
    <w:pPr>
      <w:keepNext w:val="true"/>
      <w:keepLines w:val="true"/>
      <w:pBdr/>
      <w:spacing w:after="200" w:before="320"/>
      <w:ind/>
      <w:outlineLvl w:val="5"/>
    </w:pPr>
    <w:rPr>
      <w:rFonts w:ascii="等线" w:hAnsi="等线" w:eastAsia="等线" w:cs="等线"/>
      <w:b/>
      <w:bCs/>
      <w:sz w:val="22"/>
      <w:szCs w:val="22"/>
    </w:rPr>
  </w:style>
  <w:style w:type="character" w:styleId="24">
    <w:name w:val="Heading 6 Char"/>
    <w:basedOn w:val="662"/>
    <w:link w:val="23"/>
    <w:uiPriority w:val="9"/>
    <w:pPr>
      <w:pBdr/>
      <w:spacing/>
      <w:ind/>
    </w:pPr>
    <w:rPr>
      <w:rFonts w:ascii="等线" w:hAnsi="等线" w:eastAsia="等线" w:cs="等线"/>
      <w:b/>
      <w:bCs/>
      <w:sz w:val="22"/>
      <w:szCs w:val="22"/>
    </w:rPr>
  </w:style>
  <w:style w:type="paragraph" w:styleId="25">
    <w:name w:val="Heading 7"/>
    <w:basedOn w:val="658"/>
    <w:next w:val="658"/>
    <w:link w:val="26"/>
    <w:uiPriority w:val="9"/>
    <w:unhideWhenUsed/>
    <w:qFormat/>
    <w:pPr>
      <w:keepNext w:val="true"/>
      <w:keepLines w:val="true"/>
      <w:pBdr/>
      <w:spacing w:after="200" w:before="320"/>
      <w:ind/>
      <w:outlineLvl w:val="6"/>
    </w:pPr>
    <w:rPr>
      <w:rFonts w:ascii="等线" w:hAnsi="等线" w:eastAsia="等线" w:cs="等线"/>
      <w:b/>
      <w:bCs/>
      <w:i/>
      <w:iCs/>
      <w:sz w:val="22"/>
      <w:szCs w:val="22"/>
    </w:rPr>
  </w:style>
  <w:style w:type="character" w:styleId="26">
    <w:name w:val="Heading 7 Char"/>
    <w:basedOn w:val="662"/>
    <w:link w:val="25"/>
    <w:uiPriority w:val="9"/>
    <w:pPr>
      <w:pBdr/>
      <w:spacing/>
      <w:ind/>
    </w:pPr>
    <w:rPr>
      <w:rFonts w:ascii="等线" w:hAnsi="等线" w:eastAsia="等线" w:cs="等线"/>
      <w:b/>
      <w:bCs/>
      <w:i/>
      <w:iCs/>
      <w:sz w:val="22"/>
      <w:szCs w:val="22"/>
    </w:rPr>
  </w:style>
  <w:style w:type="paragraph" w:styleId="27">
    <w:name w:val="Heading 8"/>
    <w:basedOn w:val="658"/>
    <w:next w:val="658"/>
    <w:link w:val="28"/>
    <w:uiPriority w:val="9"/>
    <w:unhideWhenUsed/>
    <w:qFormat/>
    <w:pPr>
      <w:keepNext w:val="true"/>
      <w:keepLines w:val="true"/>
      <w:pBdr/>
      <w:spacing w:after="200" w:before="320"/>
      <w:ind/>
      <w:outlineLvl w:val="7"/>
    </w:pPr>
    <w:rPr>
      <w:rFonts w:ascii="等线" w:hAnsi="等线" w:eastAsia="等线" w:cs="等线"/>
      <w:i/>
      <w:iCs/>
      <w:sz w:val="22"/>
      <w:szCs w:val="22"/>
    </w:rPr>
  </w:style>
  <w:style w:type="character" w:styleId="28">
    <w:name w:val="Heading 8 Char"/>
    <w:basedOn w:val="662"/>
    <w:link w:val="27"/>
    <w:uiPriority w:val="9"/>
    <w:pPr>
      <w:pBdr/>
      <w:spacing/>
      <w:ind/>
    </w:pPr>
    <w:rPr>
      <w:rFonts w:ascii="等线" w:hAnsi="等线" w:eastAsia="等线" w:cs="等线"/>
      <w:i/>
      <w:iCs/>
      <w:sz w:val="22"/>
      <w:szCs w:val="22"/>
    </w:rPr>
  </w:style>
  <w:style w:type="paragraph" w:styleId="29">
    <w:name w:val="Heading 9"/>
    <w:basedOn w:val="658"/>
    <w:next w:val="658"/>
    <w:link w:val="30"/>
    <w:uiPriority w:val="9"/>
    <w:unhideWhenUsed/>
    <w:qFormat/>
    <w:pPr>
      <w:keepNext w:val="true"/>
      <w:keepLines w:val="true"/>
      <w:pBdr/>
      <w:spacing w:after="200" w:before="320"/>
      <w:ind/>
      <w:outlineLvl w:val="8"/>
    </w:pPr>
    <w:rPr>
      <w:rFonts w:ascii="等线" w:hAnsi="等线" w:eastAsia="等线" w:cs="等线"/>
      <w:i/>
      <w:iCs/>
      <w:sz w:val="21"/>
      <w:szCs w:val="21"/>
    </w:rPr>
  </w:style>
  <w:style w:type="character" w:styleId="30">
    <w:name w:val="Heading 9 Char"/>
    <w:basedOn w:val="662"/>
    <w:link w:val="29"/>
    <w:uiPriority w:val="9"/>
    <w:pPr>
      <w:pBdr/>
      <w:spacing/>
      <w:ind/>
    </w:pPr>
    <w:rPr>
      <w:rFonts w:ascii="等线" w:hAnsi="等线" w:eastAsia="等线" w:cs="等线"/>
      <w:i/>
      <w:iCs/>
      <w:sz w:val="21"/>
      <w:szCs w:val="21"/>
    </w:rPr>
  </w:style>
  <w:style w:type="paragraph" w:styleId="31">
    <w:name w:val="List Paragraph"/>
    <w:basedOn w:val="658"/>
    <w:uiPriority w:val="34"/>
    <w:qFormat/>
    <w:pPr>
      <w:pBdr/>
      <w:spacing/>
      <w:ind w:left="720"/>
      <w:contextualSpacing w:val="true"/>
    </w:pPr>
  </w:style>
  <w:style w:type="character" w:styleId="35">
    <w:name w:val="Title Char"/>
    <w:basedOn w:val="662"/>
    <w:link w:val="675"/>
    <w:uiPriority w:val="10"/>
    <w:pPr>
      <w:pBdr/>
      <w:spacing/>
      <w:ind/>
    </w:pPr>
    <w:rPr>
      <w:sz w:val="48"/>
      <w:szCs w:val="48"/>
    </w:rPr>
  </w:style>
  <w:style w:type="character" w:styleId="37">
    <w:name w:val="Subtitle Char"/>
    <w:basedOn w:val="662"/>
    <w:link w:val="672"/>
    <w:uiPriority w:val="11"/>
    <w:pPr>
      <w:pBdr/>
      <w:spacing/>
      <w:ind/>
    </w:pPr>
    <w:rPr>
      <w:sz w:val="24"/>
      <w:szCs w:val="24"/>
    </w:rPr>
  </w:style>
  <w:style w:type="paragraph" w:styleId="38">
    <w:name w:val="Quote"/>
    <w:basedOn w:val="658"/>
    <w:next w:val="658"/>
    <w:link w:val="39"/>
    <w:uiPriority w:val="29"/>
    <w:qFormat/>
    <w:pPr>
      <w:pBdr/>
      <w:spacing/>
      <w:ind w:right="720" w:left="720"/>
    </w:pPr>
    <w:rPr>
      <w:i/>
    </w:rPr>
  </w:style>
  <w:style w:type="character" w:styleId="39">
    <w:name w:val="Quote Char"/>
    <w:link w:val="38"/>
    <w:uiPriority w:val="29"/>
    <w:pPr>
      <w:pBdr/>
      <w:spacing/>
      <w:ind/>
    </w:pPr>
    <w:rPr>
      <w:i/>
    </w:rPr>
  </w:style>
  <w:style w:type="paragraph" w:styleId="40">
    <w:name w:val="Intense Quote"/>
    <w:basedOn w:val="658"/>
    <w:next w:val="658"/>
    <w:link w:val="41"/>
    <w:uiPriority w:val="30"/>
    <w:qFormat/>
    <w:pPr>
      <w:pBdr>
        <w:top w:val="single" w:color="ffffff" w:sz="4" w:space="5"/>
        <w:left w:val="single" w:color="ffffff" w:sz="4" w:space="10"/>
        <w:bottom w:val="single" w:color="ffffff" w:sz="4" w:space="5"/>
        <w:right w:val="single" w:color="ffffff" w:sz="4" w:space="10"/>
      </w:pBdr>
      <w:shd w:val="clear" w:color="auto" w:fill="f2f2f2"/>
      <w:spacing/>
      <w:ind w:right="720" w:left="720"/>
      <w:contextualSpacing w:val="false"/>
    </w:pPr>
    <w:rPr>
      <w:i/>
    </w:rPr>
  </w:style>
  <w:style w:type="character" w:styleId="41">
    <w:name w:val="Intense Quote Char"/>
    <w:link w:val="40"/>
    <w:uiPriority w:val="30"/>
    <w:pPr>
      <w:pBdr/>
      <w:spacing/>
      <w:ind/>
    </w:pPr>
    <w:rPr>
      <w:i/>
    </w:rPr>
  </w:style>
  <w:style w:type="character" w:styleId="43">
    <w:name w:val="Header Char"/>
    <w:basedOn w:val="662"/>
    <w:link w:val="669"/>
    <w:uiPriority w:val="99"/>
    <w:pPr>
      <w:pBdr/>
      <w:spacing/>
      <w:ind/>
    </w:pPr>
  </w:style>
  <w:style w:type="character" w:styleId="45">
    <w:name w:val="Footer Char"/>
    <w:basedOn w:val="662"/>
    <w:link w:val="668"/>
    <w:uiPriority w:val="99"/>
    <w:pPr>
      <w:pBdr/>
      <w:spacing/>
      <w:ind/>
    </w:pPr>
  </w:style>
  <w:style w:type="character" w:styleId="47">
    <w:name w:val="Caption Char"/>
    <w:basedOn w:val="665"/>
    <w:link w:val="668"/>
    <w:uiPriority w:val="99"/>
    <w:pPr>
      <w:pBdr/>
      <w:spacing/>
      <w:ind/>
    </w:pPr>
  </w:style>
  <w:style w:type="table" w:styleId="49">
    <w:name w:val="Table Grid Light"/>
    <w:basedOn w:val="663"/>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Plain Table 1"/>
    <w:basedOn w:val="663"/>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Plain Table 2"/>
    <w:basedOn w:val="663"/>
    <w:uiPriority w:val="59"/>
    <w:pPr>
      <w:pBdr/>
      <w:spacing w:after="0" w:line="240" w:lineRule="auto"/>
      <w:ind/>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Plain Table 3"/>
    <w:basedOn w:val="66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Plain Table 4"/>
    <w:basedOn w:val="66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Plain Table 5"/>
    <w:basedOn w:val="66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5">
    <w:name w:val="Grid Table 1 Light"/>
    <w:basedOn w:val="66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6">
    <w:name w:val="Grid Table 1 Light - Accent 1"/>
    <w:basedOn w:val="66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7">
    <w:name w:val="Grid Table 1 Light - Accent 2"/>
    <w:basedOn w:val="66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8">
    <w:name w:val="Grid Table 1 Light - Accent 3"/>
    <w:basedOn w:val="66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9">
    <w:name w:val="Grid Table 1 Light - Accent 4"/>
    <w:basedOn w:val="66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0">
    <w:name w:val="Grid Table 1 Light - Accent 5"/>
    <w:basedOn w:val="66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1">
    <w:name w:val="Grid Table 1 Light - Accent 6"/>
    <w:basedOn w:val="66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2"/>
    <w:basedOn w:val="66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2 - Accent 1"/>
    <w:basedOn w:val="66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2 - Accent 2"/>
    <w:basedOn w:val="66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2 - Accent 3"/>
    <w:basedOn w:val="66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2 - Accent 4"/>
    <w:basedOn w:val="66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2 - Accent 5"/>
    <w:basedOn w:val="66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Grid Table 2 - Accent 6"/>
    <w:basedOn w:val="66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Grid Table 3"/>
    <w:basedOn w:val="66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Grid Table 3 - Accent 1"/>
    <w:basedOn w:val="66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Grid Table 3 - Accent 2"/>
    <w:basedOn w:val="66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Grid Table 3 - Accent 3"/>
    <w:basedOn w:val="66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Grid Table 3 - Accent 4"/>
    <w:basedOn w:val="66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Grid Table 3 - Accent 5"/>
    <w:basedOn w:val="66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Grid Table 3 - Accent 6"/>
    <w:basedOn w:val="66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Grid Table 4"/>
    <w:basedOn w:val="66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Grid Table 4 - Accent 1"/>
    <w:basedOn w:val="66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1"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1"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Grid Table 4 - Accent 2"/>
    <w:basedOn w:val="66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Grid Table 4 - Accent 3"/>
    <w:basedOn w:val="66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Grid Table 4 - Accent 4"/>
    <w:basedOn w:val="66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Grid Table 4 - Accent 5"/>
    <w:basedOn w:val="66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Grid Table 4 - Accent 6"/>
    <w:basedOn w:val="66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Grid Table 5 Dark"/>
    <w:basedOn w:val="66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Grid Table 5 Dark- Accent 1"/>
    <w:basedOn w:val="66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cPr>
      <w:tcBorders/>
    </w:tcPr>
    <w:tblStylePr w:type="band1Horz">
      <w:pPr>
        <w:pBdr/>
        <w:spacing/>
        <w:ind/>
      </w:pPr>
      <w:tblPr>
        <w:tblBorders/>
      </w:tblPr>
      <w:tcPr>
        <w:shd w:val="clear" w:color="ffffff" w:themeColor="accent1" w:themeTint="75" w:fill="adc5e0" w:themeFill="accent1" w:themeFillTint="75"/>
        <w:tcBorders/>
      </w:tcPr>
    </w:tblStylePr>
    <w:tblStylePr w:type="band1Vert">
      <w:pPr>
        <w:pBdr/>
        <w:spacing/>
        <w:ind/>
      </w:pPr>
      <w:tblPr>
        <w:tblBorders/>
      </w:tblPr>
      <w:tcPr>
        <w:shd w:val="clear" w:color="ffffff" w:themeColor="accent1" w:themeTint="75" w:fill="adc5e0"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Grid Table 5 Dark - Accent 2"/>
    <w:basedOn w:val="66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cPr>
      <w:tcBorders/>
    </w:tcPr>
    <w:tblStylePr w:type="band1Horz">
      <w:pPr>
        <w:pBdr/>
        <w:spacing/>
        <w:ind/>
      </w:pPr>
      <w:tblPr>
        <w:tblBorders/>
      </w:tblPr>
      <w:tcPr>
        <w:shd w:val="clear" w:color="ffffff" w:themeColor="accent2" w:themeTint="75" w:fill="e1adac" w:themeFill="accent2" w:themeFillTint="75"/>
        <w:tcBorders/>
      </w:tcPr>
    </w:tblStylePr>
    <w:tblStylePr w:type="band1Vert">
      <w:pPr>
        <w:pBdr/>
        <w:spacing/>
        <w:ind/>
      </w:pPr>
      <w:tblPr>
        <w:tblBorders/>
      </w:tblPr>
      <w:tcPr>
        <w:shd w:val="clear" w:color="ffffff" w:themeColor="accent2" w:themeTint="75" w:fill="e1adac"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Grid Table 5 Dark - Accent 3"/>
    <w:basedOn w:val="66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cPr>
      <w:tcBorders/>
    </w:tcPr>
    <w:tblStylePr w:type="band1Horz">
      <w:pPr>
        <w:pBdr/>
        <w:spacing/>
        <w:ind/>
      </w:pPr>
      <w:tblPr>
        <w:tblBorders/>
      </w:tblPr>
      <w:tcPr>
        <w:shd w:val="clear" w:color="ffffff" w:themeColor="accent3" w:themeTint="75" w:fill="d1dfb2" w:themeFill="accent3" w:themeFillTint="75"/>
        <w:tcBorders/>
      </w:tcPr>
    </w:tblStylePr>
    <w:tblStylePr w:type="band1Vert">
      <w:pPr>
        <w:pBdr/>
        <w:spacing/>
        <w:ind/>
      </w:pPr>
      <w:tblPr>
        <w:tblBorders/>
      </w:tblPr>
      <w:tcPr>
        <w:shd w:val="clear" w:color="ffffff" w:themeColor="accent3" w:themeTint="75" w:fill="d1dfb2"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Grid Table 5 Dark- Accent 4"/>
    <w:basedOn w:val="66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4b7d4" w:themeFill="accent4" w:themeFillTint="75"/>
        <w:tcBorders/>
      </w:tcPr>
    </w:tblStylePr>
    <w:tblStylePr w:type="band1Vert">
      <w:pPr>
        <w:pBdr/>
        <w:spacing/>
        <w:ind/>
      </w:pPr>
      <w:tblPr>
        <w:tblBorders/>
      </w:tblPr>
      <w:tcPr>
        <w:shd w:val="clear" w:color="ffffff" w:themeColor="accent4" w:themeTint="75" w:fill="c4b7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Grid Table 5 Dark - Accent 5"/>
    <w:basedOn w:val="66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bd9e4" w:themeFill="accent5" w:themeFillTint="75"/>
        <w:tcBorders/>
      </w:tcPr>
    </w:tblStylePr>
    <w:tblStylePr w:type="band1Vert">
      <w:pPr>
        <w:pBdr/>
        <w:spacing/>
        <w:ind/>
      </w:pPr>
      <w:tblPr>
        <w:tblBorders/>
      </w:tblPr>
      <w:tcPr>
        <w:shd w:val="clear" w:color="ffffff" w:themeColor="accent5" w:themeTint="75" w:fill="abd9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Grid Table 5 Dark - Accent 6"/>
    <w:basedOn w:val="66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cPr>
      <w:tcBorders/>
    </w:tcPr>
    <w:tblStylePr w:type="band1Horz">
      <w:pPr>
        <w:pBdr/>
        <w:spacing/>
        <w:ind/>
      </w:pPr>
      <w:tblPr>
        <w:tblBorders/>
      </w:tblPr>
      <w:tcPr>
        <w:shd w:val="clear" w:color="ffffff" w:themeColor="accent6" w:themeTint="75" w:fill="fbcda8" w:themeFill="accent6" w:themeFillTint="75"/>
        <w:tcBorders/>
      </w:tcPr>
    </w:tblStylePr>
    <w:tblStylePr w:type="band1Vert">
      <w:pPr>
        <w:pBdr/>
        <w:spacing/>
        <w:ind/>
      </w:pPr>
      <w:tblPr>
        <w:tblBorders/>
      </w:tblPr>
      <w:tcPr>
        <w:shd w:val="clear" w:color="ffffff" w:themeColor="accent6" w:themeTint="75" w:fill="fbcd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Grid Table 6 Colorful"/>
    <w:basedOn w:val="66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91">
    <w:name w:val="Grid Table 6 Colorful - Accent 1"/>
    <w:basedOn w:val="66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ae5f1" w:themeFill="accent1" w:themeFillTint="34"/>
        <w:tcBorders/>
      </w:tcPr>
    </w:tblStylePr>
    <w:tblStylePr w:type="band1Vert">
      <w:pPr>
        <w:pBdr/>
        <w:spacing/>
        <w:ind/>
      </w:pPr>
      <w:tblPr>
        <w:tblBorders/>
      </w:tblPr>
      <w:tcPr>
        <w:shd w:val="clear" w:color="ffffff" w:themeColor="accent1" w:themeTint="34" w:fill="dae5f1"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70a3" w:themeColor="accent1" w:themeTint="80" w:themeShade="95"/>
      </w:rPr>
      <w:pPr>
        <w:pBdr/>
        <w:spacing/>
        <w:ind/>
      </w:pPr>
      <w:tblPr>
        <w:tblBorders/>
      </w:tblPr>
      <w:tcPr>
        <w:tcBorders/>
      </w:tcPr>
    </w:tblStylePr>
    <w:tblStylePr w:type="firstRow">
      <w:rPr>
        <w:b/>
        <w:color w:val="3e70a3" w:themeColor="accent1" w:themeTint="80" w:themeShade="95"/>
      </w:rPr>
      <w:pPr>
        <w:pBdr/>
        <w:spacing/>
        <w:ind/>
      </w:pPr>
      <w:tblPr>
        <w:tblBorders/>
      </w:tblPr>
      <w:tcPr>
        <w:tcBorders>
          <w:bottom w:val="single" w:color="000000" w:themeColor="accent1" w:themeTint="80" w:sz="12" w:space="0"/>
        </w:tcBorders>
      </w:tcPr>
    </w:tblStylePr>
    <w:tblStylePr w:type="lastCol">
      <w:rPr>
        <w:b/>
        <w:color w:val="3e70a3" w:themeColor="accent1" w:themeTint="80" w:themeShade="95"/>
      </w:rPr>
      <w:pPr>
        <w:pBdr/>
        <w:spacing/>
        <w:ind/>
      </w:pPr>
      <w:tblPr>
        <w:tblBorders/>
      </w:tblPr>
      <w:tcPr>
        <w:tcBorders/>
      </w:tcPr>
    </w:tblStylePr>
    <w:tblStylePr w:type="lastRow">
      <w:rPr>
        <w:b/>
        <w:color w:val="3e70a3"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92">
    <w:name w:val="Grid Table 6 Colorful - Accent 2"/>
    <w:basedOn w:val="66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2dcdb" w:themeFill="accent2" w:themeFillTint="32"/>
        <w:tcBorders/>
      </w:tcPr>
    </w:tblStylePr>
    <w:tblStylePr w:type="band1Vert">
      <w:pPr>
        <w:pBdr/>
        <w:spacing/>
        <w:ind/>
      </w:pPr>
      <w:tblPr>
        <w:tblBorders/>
      </w:tblPr>
      <w:tcPr>
        <w:shd w:val="clear" w:color="ffffff" w:themeColor="accent2" w:themeTint="32" w:fill="f2dcdb"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c3a37" w:themeColor="accent2" w:themeTint="97" w:themeShade="95"/>
      </w:rPr>
      <w:pPr>
        <w:pBdr/>
        <w:spacing/>
        <w:ind/>
      </w:pPr>
      <w:tblPr>
        <w:tblBorders/>
      </w:tblPr>
      <w:tcPr>
        <w:tcBorders/>
      </w:tcPr>
    </w:tblStylePr>
    <w:tblStylePr w:type="firstRow">
      <w:rPr>
        <w:b/>
        <w:color w:val="9c3a37" w:themeColor="accent2" w:themeTint="97" w:themeShade="95"/>
      </w:rPr>
      <w:pPr>
        <w:pBdr/>
        <w:spacing/>
        <w:ind/>
      </w:pPr>
      <w:tblPr>
        <w:tblBorders/>
      </w:tblPr>
      <w:tcPr>
        <w:tcBorders>
          <w:bottom w:val="single" w:color="000000" w:themeColor="accent2" w:themeTint="97" w:sz="12" w:space="0"/>
        </w:tcBorders>
      </w:tcPr>
    </w:tblStylePr>
    <w:tblStylePr w:type="lastCol">
      <w:rPr>
        <w:b/>
        <w:color w:val="9c3a37" w:themeColor="accent2" w:themeTint="97" w:themeShade="95"/>
      </w:rPr>
      <w:pPr>
        <w:pBdr/>
        <w:spacing/>
        <w:ind/>
      </w:pPr>
      <w:tblPr>
        <w:tblBorders/>
      </w:tblPr>
      <w:tcPr>
        <w:tcBorders/>
      </w:tcPr>
    </w:tblStylePr>
    <w:tblStylePr w:type="lastRow">
      <w:rPr>
        <w:b/>
        <w:color w:val="9c3a37"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93">
    <w:name w:val="Grid Table 6 Colorful - Accent 3"/>
    <w:basedOn w:val="66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af0dd" w:themeFill="accent3" w:themeFillTint="34"/>
        <w:tcBorders/>
      </w:tcPr>
    </w:tblStylePr>
    <w:tblStylePr w:type="band1Vert">
      <w:pPr>
        <w:pBdr/>
        <w:spacing/>
        <w:ind/>
      </w:pPr>
      <w:tblPr>
        <w:tblBorders/>
      </w:tblPr>
      <w:tcPr>
        <w:shd w:val="clear" w:color="ffffff" w:themeColor="accent3" w:themeTint="34" w:fill="eaf0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c702f" w:themeColor="accent3" w:themeTint="FE" w:themeShade="95"/>
      </w:rPr>
      <w:pPr>
        <w:pBdr/>
        <w:spacing/>
        <w:ind/>
      </w:pPr>
      <w:tblPr>
        <w:tblBorders/>
      </w:tblPr>
      <w:tcPr>
        <w:tcBorders/>
      </w:tcPr>
    </w:tblStylePr>
    <w:tblStylePr w:type="firstRow">
      <w:rPr>
        <w:b/>
        <w:color w:val="5c702f" w:themeColor="accent3" w:themeTint="FE" w:themeShade="95"/>
      </w:rPr>
      <w:pPr>
        <w:pBdr/>
        <w:spacing/>
        <w:ind/>
      </w:pPr>
      <w:tblPr>
        <w:tblBorders/>
      </w:tblPr>
      <w:tcPr>
        <w:tcBorders>
          <w:bottom w:val="single" w:color="000000" w:themeColor="accent3" w:themeTint="FE" w:sz="12" w:space="0"/>
        </w:tcBorders>
      </w:tcPr>
    </w:tblStylePr>
    <w:tblStylePr w:type="lastCol">
      <w:rPr>
        <w:b/>
        <w:color w:val="5c702f" w:themeColor="accent3" w:themeTint="FE" w:themeShade="95"/>
      </w:rPr>
      <w:pPr>
        <w:pBdr/>
        <w:spacing/>
        <w:ind/>
      </w:pPr>
      <w:tblPr>
        <w:tblBorders/>
      </w:tblPr>
      <w:tcPr>
        <w:tcBorders/>
      </w:tcPr>
    </w:tblStylePr>
    <w:tblStylePr w:type="lastRow">
      <w:rPr>
        <w:b/>
        <w:color w:val="5c70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4">
    <w:name w:val="Grid Table 6 Colorful - Accent 4"/>
    <w:basedOn w:val="66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2" w:themeColor="accent4" w:themeTint="9A" w:themeShade="95"/>
      </w:rPr>
      <w:pPr>
        <w:pBdr/>
        <w:spacing/>
        <w:ind/>
      </w:pPr>
      <w:tblPr>
        <w:tblBorders/>
      </w:tblPr>
      <w:tcPr>
        <w:tcBorders/>
      </w:tcPr>
    </w:tblStylePr>
    <w:tblStylePr w:type="firstRow">
      <w:rPr>
        <w:b/>
        <w:color w:val="664f82" w:themeColor="accent4" w:themeTint="9A" w:themeShade="95"/>
      </w:rPr>
      <w:pPr>
        <w:pBdr/>
        <w:spacing/>
        <w:ind/>
      </w:pPr>
      <w:tblPr>
        <w:tblBorders/>
      </w:tblPr>
      <w:tcPr>
        <w:tcBorders>
          <w:bottom w:val="single" w:color="000000" w:themeColor="accent4" w:themeTint="9A" w:sz="12" w:space="0"/>
        </w:tcBorders>
      </w:tcPr>
    </w:tblStylePr>
    <w:tblStylePr w:type="lastCol">
      <w:rPr>
        <w:b/>
        <w:color w:val="664f82" w:themeColor="accent4" w:themeTint="9A" w:themeShade="95"/>
      </w:rPr>
      <w:pPr>
        <w:pBdr/>
        <w:spacing/>
        <w:ind/>
      </w:pPr>
      <w:tblPr>
        <w:tblBorders/>
      </w:tblPr>
      <w:tcPr>
        <w:tcBorders/>
      </w:tcPr>
    </w:tblStylePr>
    <w:tblStylePr w:type="lastRow">
      <w:rPr>
        <w:b/>
        <w:color w:val="664f82"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5">
    <w:name w:val="Grid Table 6 Colorful - Accent 5"/>
    <w:basedOn w:val="66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7" w:themeColor="accent5" w:themeShade="95"/>
      </w:rPr>
      <w:pPr>
        <w:pBdr/>
        <w:spacing/>
        <w:ind/>
      </w:pPr>
      <w:tblPr>
        <w:tblBorders/>
      </w:tblPr>
      <w:tcPr>
        <w:tcBorders/>
      </w:tcPr>
    </w:tblStylePr>
    <w:tblStylePr w:type="firstRow">
      <w:rPr>
        <w:b/>
        <w:color w:val="266777" w:themeColor="accent5" w:themeShade="95"/>
      </w:rPr>
      <w:pPr>
        <w:pBdr/>
        <w:spacing/>
        <w:ind/>
      </w:pPr>
      <w:tblPr>
        <w:tblBorders/>
      </w:tblPr>
      <w:tcPr>
        <w:tcBorders>
          <w:bottom w:val="single" w:color="000000" w:themeColor="accent5" w:sz="12" w:space="0"/>
        </w:tcBorders>
      </w:tcPr>
    </w:tblStylePr>
    <w:tblStylePr w:type="lastCol">
      <w:rPr>
        <w:b/>
        <w:color w:val="266777" w:themeColor="accent5" w:themeShade="95"/>
      </w:rPr>
      <w:pPr>
        <w:pBdr/>
        <w:spacing/>
        <w:ind/>
      </w:pPr>
      <w:tblPr>
        <w:tblBorders/>
      </w:tblPr>
      <w:tcPr>
        <w:tcBorders/>
      </w:tcPr>
    </w:tblStylePr>
    <w:tblStylePr w:type="lastRow">
      <w:rPr>
        <w:b/>
        <w:color w:val="266777"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6">
    <w:name w:val="Grid Table 6 Colorful - Accent 6"/>
    <w:basedOn w:val="66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9d8" w:themeFill="accent6" w:themeFillTint="34"/>
        <w:tcBorders/>
      </w:tcPr>
    </w:tblStylePr>
    <w:tblStylePr w:type="band1Vert">
      <w:pPr>
        <w:pBdr/>
        <w:spacing/>
        <w:ind/>
      </w:pPr>
      <w:tblPr>
        <w:tblBorders/>
      </w:tblPr>
      <w:tcPr>
        <w:shd w:val="clear" w:color="ffffff" w:themeColor="accent6" w:themeTint="34" w:fill="fde9d8"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7" w:themeColor="accent5" w:themeShade="95"/>
      </w:rPr>
      <w:pPr>
        <w:pBdr/>
        <w:spacing/>
        <w:ind/>
      </w:pPr>
      <w:tblPr>
        <w:tblBorders/>
      </w:tblPr>
      <w:tcPr>
        <w:tcBorders/>
      </w:tcPr>
    </w:tblStylePr>
    <w:tblStylePr w:type="firstRow">
      <w:rPr>
        <w:b/>
        <w:color w:val="266777" w:themeColor="accent5" w:themeShade="95"/>
      </w:rPr>
      <w:pPr>
        <w:pBdr/>
        <w:spacing/>
        <w:ind/>
      </w:pPr>
      <w:tblPr>
        <w:tblBorders/>
      </w:tblPr>
      <w:tcPr>
        <w:tcBorders>
          <w:bottom w:val="single" w:color="000000" w:themeColor="accent6" w:sz="12" w:space="0"/>
        </w:tcBorders>
      </w:tcPr>
    </w:tblStylePr>
    <w:tblStylePr w:type="lastCol">
      <w:rPr>
        <w:b/>
        <w:color w:val="266777" w:themeColor="accent5" w:themeShade="95"/>
      </w:rPr>
      <w:pPr>
        <w:pBdr/>
        <w:spacing/>
        <w:ind/>
      </w:pPr>
      <w:tblPr>
        <w:tblBorders/>
      </w:tblPr>
      <w:tcPr>
        <w:tcBorders/>
      </w:tcPr>
    </w:tblStylePr>
    <w:tblStylePr w:type="lastRow">
      <w:rPr>
        <w:b/>
        <w:color w:val="266777"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7">
    <w:name w:val="Grid Table 7 Colorful"/>
    <w:basedOn w:val="66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
    <w:name w:val="Grid Table 7 Colorful - Accent 1"/>
    <w:basedOn w:val="66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70a3" w:themeColor="accent1" w:themeTint="80" w:themeShade="95"/>
        <w:sz w:val="22"/>
      </w:rPr>
      <w:pPr>
        <w:pBdr/>
        <w:spacing/>
        <w:ind/>
      </w:pPr>
      <w:tblPr>
        <w:tblBorders/>
      </w:tblPr>
      <w:tcPr>
        <w:shd w:val="clear" w:color="ffffff" w:themeColor="accent1" w:themeTint="34" w:fill="dae5f1" w:themeFill="accent1" w:themeFillTint="34"/>
        <w:tcBorders/>
      </w:tcPr>
    </w:tblStylePr>
    <w:tblStylePr w:type="band1Vert">
      <w:pPr>
        <w:pBdr/>
        <w:spacing/>
        <w:ind/>
      </w:pPr>
      <w:tblPr>
        <w:tblBorders/>
      </w:tblPr>
      <w:tcPr>
        <w:shd w:val="clear" w:color="ffffff" w:themeColor="accent1" w:themeTint="34" w:fill="dae5f1" w:themeFill="accent1" w:themeFillTint="34"/>
        <w:tcBorders/>
      </w:tcPr>
    </w:tblStylePr>
    <w:tblStylePr w:type="band2Horz">
      <w:rPr>
        <w:rFonts w:ascii="Arial" w:hAnsi="Arial"/>
        <w:color w:val="3e70a3"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70a3"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70a3"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70a3"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70a3"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
    <w:name w:val="Grid Table 7 Colorful - Accent 2"/>
    <w:basedOn w:val="66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c3a37" w:themeColor="accent2" w:themeTint="97" w:themeShade="95"/>
        <w:sz w:val="22"/>
      </w:rPr>
      <w:pPr>
        <w:pBdr/>
        <w:spacing/>
        <w:ind/>
      </w:pPr>
      <w:tblPr>
        <w:tblBorders/>
      </w:tblPr>
      <w:tcPr>
        <w:shd w:val="clear" w:color="ffffff" w:themeColor="accent2" w:themeTint="32" w:fill="f2dcdb" w:themeFill="accent2" w:themeFillTint="32"/>
        <w:tcBorders/>
      </w:tcPr>
    </w:tblStylePr>
    <w:tblStylePr w:type="band1Vert">
      <w:pPr>
        <w:pBdr/>
        <w:spacing/>
        <w:ind/>
      </w:pPr>
      <w:tblPr>
        <w:tblBorders/>
      </w:tblPr>
      <w:tcPr>
        <w:shd w:val="clear" w:color="ffffff" w:themeColor="accent2" w:themeTint="32" w:fill="f2dcdb" w:themeFill="accent2" w:themeFillTint="32"/>
        <w:tcBorders/>
      </w:tcPr>
    </w:tblStylePr>
    <w:tblStylePr w:type="band2Horz">
      <w:rPr>
        <w:rFonts w:ascii="Arial" w:hAnsi="Arial"/>
        <w:color w:val="9c3a37"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c3a37"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c3a37"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c3a37"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
    <w:name w:val="Grid Table 7 Colorful - Accent 3"/>
    <w:basedOn w:val="66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c702f" w:themeColor="accent3" w:themeTint="FE" w:themeShade="95"/>
        <w:sz w:val="22"/>
      </w:rPr>
      <w:pPr>
        <w:pBdr/>
        <w:spacing/>
        <w:ind/>
      </w:pPr>
      <w:tblPr>
        <w:tblBorders/>
      </w:tblPr>
      <w:tcPr>
        <w:shd w:val="clear" w:color="ffffff" w:themeColor="accent3" w:themeTint="34" w:fill="eaf0dd" w:themeFill="accent3" w:themeFillTint="34"/>
        <w:tcBorders/>
      </w:tcPr>
    </w:tblStylePr>
    <w:tblStylePr w:type="band1Vert">
      <w:pPr>
        <w:pBdr/>
        <w:spacing/>
        <w:ind/>
      </w:pPr>
      <w:tblPr>
        <w:tblBorders/>
      </w:tblPr>
      <w:tcPr>
        <w:shd w:val="clear" w:color="ffffff" w:themeColor="accent3" w:themeTint="34" w:fill="eaf0dd" w:themeFill="accent3" w:themeFillTint="34"/>
        <w:tcBorders/>
      </w:tcPr>
    </w:tblStylePr>
    <w:tblStylePr w:type="band2Horz">
      <w:rPr>
        <w:rFonts w:ascii="Arial" w:hAnsi="Arial"/>
        <w:color w:val="5c70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c70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c70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c70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c70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
    <w:name w:val="Grid Table 7 Colorful - Accent 4"/>
    <w:basedOn w:val="66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64f82"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64f82"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2"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64f82"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64f82"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
    <w:name w:val="Grid Table 7 Colorful - Accent 5"/>
    <w:basedOn w:val="66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777"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777"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777"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777"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777"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777"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
    <w:name w:val="Grid Table 7 Colorful - Accent 6"/>
    <w:basedOn w:val="66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05307" w:themeColor="accent6" w:themeShade="95"/>
        <w:sz w:val="22"/>
      </w:rPr>
      <w:pPr>
        <w:pBdr/>
        <w:spacing/>
        <w:ind/>
      </w:pPr>
      <w:tblPr>
        <w:tblBorders/>
      </w:tblPr>
      <w:tcPr>
        <w:shd w:val="clear" w:color="ffffff" w:themeColor="accent6" w:themeTint="34" w:fill="fde9d8" w:themeFill="accent6" w:themeFillTint="34"/>
        <w:tcBorders/>
      </w:tcPr>
    </w:tblStylePr>
    <w:tblStylePr w:type="band1Vert">
      <w:pPr>
        <w:pBdr/>
        <w:spacing/>
        <w:ind/>
      </w:pPr>
      <w:tblPr>
        <w:tblBorders/>
      </w:tblPr>
      <w:tcPr>
        <w:shd w:val="clear" w:color="ffffff" w:themeColor="accent6" w:themeTint="34" w:fill="fde9d8" w:themeFill="accent6" w:themeFillTint="34"/>
        <w:tcBorders/>
      </w:tcPr>
    </w:tblStylePr>
    <w:tblStylePr w:type="band2Horz">
      <w:rPr>
        <w:rFonts w:ascii="Arial" w:hAnsi="Arial"/>
        <w:color w:val="b05307"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05307"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05307"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05307"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05307"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1 Light"/>
    <w:basedOn w:val="66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1 Light - Accent 1"/>
    <w:basedOn w:val="66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e0ee" w:themeFill="accent1" w:themeFillTint="40"/>
        <w:tcBorders/>
      </w:tcPr>
    </w:tblStylePr>
    <w:tblStylePr w:type="band1Vert">
      <w:pPr>
        <w:pBdr/>
        <w:spacing/>
        <w:ind/>
      </w:pPr>
      <w:tblPr>
        <w:tblBorders/>
      </w:tblPr>
      <w:tcPr>
        <w:shd w:val="clear" w:color="ffffff" w:themeColor="accent1" w:themeTint="40" w:fill="d3e0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1 Light - Accent 2"/>
    <w:basedOn w:val="66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1 Light - Accent 3"/>
    <w:basedOn w:val="66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1 Light - Accent 4"/>
    <w:basedOn w:val="66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7" w:themeFill="accent4" w:themeFillTint="40"/>
        <w:tcBorders/>
      </w:tcPr>
    </w:tblStylePr>
    <w:tblStylePr w:type="band1Vert">
      <w:pPr>
        <w:pBdr/>
        <w:spacing/>
        <w:ind/>
      </w:pPr>
      <w:tblPr>
        <w:tblBorders/>
      </w:tblPr>
      <w:tcPr>
        <w:shd w:val="clear" w:color="ffffff"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1 Light - Accent 5"/>
    <w:basedOn w:val="66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1eaf0" w:themeFill="accent5" w:themeFillTint="40"/>
        <w:tcBorders/>
      </w:tcPr>
    </w:tblStylePr>
    <w:tblStylePr w:type="band1Vert">
      <w:pPr>
        <w:pBdr/>
        <w:spacing/>
        <w:ind/>
      </w:pPr>
      <w:tblPr>
        <w:tblBorders/>
      </w:tblPr>
      <w:tcPr>
        <w:shd w:val="clear" w:color="ffffff"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1 Light - Accent 6"/>
    <w:basedOn w:val="66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ce4d1" w:themeFill="accent6" w:themeFillTint="40"/>
        <w:tcBorders/>
      </w:tcPr>
    </w:tblStylePr>
    <w:tblStylePr w:type="band1Vert">
      <w:pPr>
        <w:pBdr/>
        <w:spacing/>
        <w:ind/>
      </w:pPr>
      <w:tblPr>
        <w:tblBorders/>
      </w:tblPr>
      <w:tcPr>
        <w:shd w:val="clear" w:color="ffffff" w:themeColor="accent6" w:themeTint="40" w:fill="fce4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1">
    <w:name w:val="List Table 2"/>
    <w:basedOn w:val="66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2">
    <w:name w:val="List Table 2 - Accent 1"/>
    <w:basedOn w:val="66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
    <w:name w:val="List Table 2 - Accent 2"/>
    <w:basedOn w:val="66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4">
    <w:name w:val="List Table 2 - Accent 3"/>
    <w:basedOn w:val="66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5">
    <w:name w:val="List Table 2 - Accent 4"/>
    <w:basedOn w:val="66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
    <w:name w:val="List Table 2 - Accent 5"/>
    <w:basedOn w:val="66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
    <w:name w:val="List Table 2 - Accent 6"/>
    <w:basedOn w:val="66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st Table 3"/>
    <w:basedOn w:val="66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st Table 3 - Accent 1"/>
    <w:basedOn w:val="66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st Table 3 - Accent 2"/>
    <w:basedOn w:val="66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99694"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st Table 3 - Accent 3"/>
    <w:basedOn w:val="66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b"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st Table 3 - Accent 4"/>
    <w:basedOn w:val="66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6"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st Table 3 - Accent 5"/>
    <w:basedOn w:val="66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1cddc"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List Table 3 - Accent 6"/>
    <w:basedOn w:val="66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9bf90"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List Table 4"/>
    <w:basedOn w:val="66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List Table 4 - Accent 1"/>
    <w:basedOn w:val="66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List Table 4 - Accent 2"/>
    <w:basedOn w:val="66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List Table 4 - Accent 3"/>
    <w:basedOn w:val="66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List Table 4 - Accent 4"/>
    <w:basedOn w:val="66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List Table 4 - Accent 5"/>
    <w:basedOn w:val="66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List Table 4 - Accent 6"/>
    <w:basedOn w:val="66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List Table 5 Dark"/>
    <w:basedOn w:val="66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3">
    <w:name w:val="List Table 5 Dark - Accent 1"/>
    <w:basedOn w:val="66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4">
    <w:name w:val="List Table 5 Dark - Accent 2"/>
    <w:basedOn w:val="66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cPr>
      <w:tcBorders/>
    </w:tcPr>
    <w:tblStylePr w:type="band1Horz">
      <w:pPr>
        <w:pBdr/>
        <w:spacing/>
        <w:ind/>
      </w:pPr>
      <w:tblPr>
        <w:tblBorders/>
      </w:tblPr>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5">
    <w:name w:val="List Table 5 Dark - Accent 3"/>
    <w:basedOn w:val="66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cPr>
      <w:tcBorders/>
    </w:tcPr>
    <w:tblStylePr w:type="band1Horz">
      <w:pPr>
        <w:pBdr/>
        <w:spacing/>
        <w:ind/>
      </w:pPr>
      <w:tblPr>
        <w:tblBorders/>
      </w:tblPr>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6">
    <w:name w:val="List Table 5 Dark - Accent 4"/>
    <w:basedOn w:val="66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cPr>
      <w:tcBorders/>
    </w:tcPr>
    <w:tblStylePr w:type="band1Horz">
      <w:pPr>
        <w:pBdr/>
        <w:spacing/>
        <w:ind/>
      </w:pPr>
      <w:tblPr>
        <w:tblBorders/>
      </w:tblPr>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7">
    <w:name w:val="List Table 5 Dark - Accent 5"/>
    <w:basedOn w:val="66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cPr>
      <w:tcBorders/>
    </w:tcPr>
    <w:tblStylePr w:type="band1Horz">
      <w:pPr>
        <w:pBdr/>
        <w:spacing/>
        <w:ind/>
      </w:pPr>
      <w:tblPr>
        <w:tblBorders/>
      </w:tblPr>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8">
    <w:name w:val="List Table 5 Dark - Accent 6"/>
    <w:basedOn w:val="66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cPr>
      <w:tcBorders/>
    </w:tcPr>
    <w:tblStylePr w:type="band1Horz">
      <w:pPr>
        <w:pBdr/>
        <w:spacing/>
        <w:ind/>
      </w:pPr>
      <w:tblPr>
        <w:tblBorders/>
      </w:tblPr>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9">
    <w:name w:val="List Table 6 Colorful"/>
    <w:basedOn w:val="66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0">
    <w:name w:val="List Table 6 Colorful - Accent 1"/>
    <w:basedOn w:val="66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e0ee" w:themeFill="accent1" w:themeFillTint="40"/>
        <w:tcBorders/>
      </w:tcPr>
    </w:tblStylePr>
    <w:tblStylePr w:type="band1Vert">
      <w:pPr>
        <w:pBdr/>
        <w:spacing/>
        <w:ind/>
      </w:pPr>
      <w:tblPr>
        <w:tblBorders/>
      </w:tblPr>
      <w:tcPr>
        <w:shd w:val="clear" w:color="ffffff" w:themeColor="accent1" w:themeTint="40" w:fill="d3e0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a4b71" w:themeColor="accent1" w:themeShade="95"/>
      </w:rPr>
      <w:pPr>
        <w:pBdr/>
        <w:spacing/>
        <w:ind/>
      </w:pPr>
      <w:tblPr>
        <w:tblBorders/>
      </w:tblPr>
      <w:tcPr>
        <w:tcBorders/>
      </w:tcPr>
    </w:tblStylePr>
    <w:tblStylePr w:type="firstRow">
      <w:rPr>
        <w:b/>
        <w:color w:val="2a4b71" w:themeColor="accent1" w:themeShade="95"/>
      </w:rPr>
      <w:pPr>
        <w:pBdr/>
        <w:spacing/>
        <w:ind/>
      </w:pPr>
      <w:tblPr>
        <w:tblBorders/>
      </w:tblPr>
      <w:tcPr>
        <w:tcBorders>
          <w:bottom w:val="single" w:color="000000" w:themeColor="accent1" w:sz="4" w:space="0"/>
        </w:tcBorders>
      </w:tcPr>
    </w:tblStylePr>
    <w:tblStylePr w:type="lastCol">
      <w:rPr>
        <w:b/>
        <w:color w:val="2a4b71" w:themeColor="accent1" w:themeShade="95"/>
      </w:rPr>
      <w:pPr>
        <w:pBdr/>
        <w:spacing/>
        <w:ind/>
      </w:pPr>
      <w:tblPr>
        <w:tblBorders/>
      </w:tblPr>
      <w:tcPr>
        <w:tcBorders/>
      </w:tcPr>
    </w:tblStylePr>
    <w:tblStylePr w:type="lastRow">
      <w:rPr>
        <w:b/>
        <w:color w:val="2a4b71"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1">
    <w:name w:val="List Table 6 Colorful - Accent 2"/>
    <w:basedOn w:val="66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c3a37" w:themeColor="accent2" w:themeTint="97" w:themeShade="95"/>
      </w:rPr>
      <w:pPr>
        <w:pBdr/>
        <w:spacing/>
        <w:ind/>
      </w:pPr>
      <w:tblPr>
        <w:tblBorders/>
      </w:tblPr>
      <w:tcPr>
        <w:tcBorders/>
      </w:tcPr>
    </w:tblStylePr>
    <w:tblStylePr w:type="firstRow">
      <w:rPr>
        <w:b/>
        <w:color w:val="9c3a37" w:themeColor="accent2" w:themeTint="97" w:themeShade="95"/>
      </w:rPr>
      <w:pPr>
        <w:pBdr/>
        <w:spacing/>
        <w:ind/>
      </w:pPr>
      <w:tblPr>
        <w:tblBorders/>
      </w:tblPr>
      <w:tcPr>
        <w:tcBorders>
          <w:bottom w:val="single" w:color="000000" w:themeColor="accent2" w:themeTint="97" w:sz="4" w:space="0"/>
        </w:tcBorders>
      </w:tcPr>
    </w:tblStylePr>
    <w:tblStylePr w:type="lastCol">
      <w:rPr>
        <w:b/>
        <w:color w:val="9c3a37" w:themeColor="accent2" w:themeTint="97" w:themeShade="95"/>
      </w:rPr>
      <w:pPr>
        <w:pBdr/>
        <w:spacing/>
        <w:ind/>
      </w:pPr>
      <w:tblPr>
        <w:tblBorders/>
      </w:tblPr>
      <w:tcPr>
        <w:tcBorders/>
      </w:tcPr>
    </w:tblStylePr>
    <w:tblStylePr w:type="lastRow">
      <w:rPr>
        <w:b/>
        <w:color w:val="9c3a37"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2">
    <w:name w:val="List Table 6 Colorful - Accent 3"/>
    <w:basedOn w:val="66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83f" w:themeColor="accent3" w:themeTint="98" w:themeShade="95"/>
      </w:rPr>
      <w:pPr>
        <w:pBdr/>
        <w:spacing/>
        <w:ind/>
      </w:pPr>
      <w:tblPr>
        <w:tblBorders/>
      </w:tblPr>
      <w:tcPr>
        <w:tcBorders/>
      </w:tcPr>
    </w:tblStylePr>
    <w:tblStylePr w:type="firstRow">
      <w:rPr>
        <w:b/>
        <w:color w:val="7c98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83f" w:themeColor="accent3" w:themeTint="98" w:themeShade="95"/>
      </w:rPr>
      <w:pPr>
        <w:pBdr/>
        <w:spacing/>
        <w:ind/>
      </w:pPr>
      <w:tblPr>
        <w:tblBorders/>
      </w:tblPr>
      <w:tcPr>
        <w:tcBorders/>
      </w:tcPr>
    </w:tblStylePr>
    <w:tblStylePr w:type="lastRow">
      <w:rPr>
        <w:b/>
        <w:color w:val="7c98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3">
    <w:name w:val="List Table 6 Colorful - Accent 4"/>
    <w:basedOn w:val="66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7" w:themeFill="accent4" w:themeFillTint="40"/>
        <w:tcBorders/>
      </w:tcPr>
    </w:tblStylePr>
    <w:tblStylePr w:type="band1Vert">
      <w:pPr>
        <w:pBdr/>
        <w:spacing/>
        <w:ind/>
      </w:pPr>
      <w:tblPr>
        <w:tblBorders/>
      </w:tblPr>
      <w:tcPr>
        <w:shd w:val="clear" w:color="ffffff" w:themeColor="accent4" w:themeTint="40" w:fill="dfd8e7"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2" w:themeColor="accent4" w:themeTint="9A" w:themeShade="95"/>
      </w:rPr>
      <w:pPr>
        <w:pBdr/>
        <w:spacing/>
        <w:ind/>
      </w:pPr>
      <w:tblPr>
        <w:tblBorders/>
      </w:tblPr>
      <w:tcPr>
        <w:tcBorders/>
      </w:tcPr>
    </w:tblStylePr>
    <w:tblStylePr w:type="firstRow">
      <w:rPr>
        <w:b/>
        <w:color w:val="664f82" w:themeColor="accent4" w:themeTint="9A" w:themeShade="95"/>
      </w:rPr>
      <w:pPr>
        <w:pBdr/>
        <w:spacing/>
        <w:ind/>
      </w:pPr>
      <w:tblPr>
        <w:tblBorders/>
      </w:tblPr>
      <w:tcPr>
        <w:tcBorders>
          <w:bottom w:val="single" w:color="000000" w:themeColor="accent4" w:themeTint="9A" w:sz="4" w:space="0"/>
        </w:tcBorders>
      </w:tcPr>
    </w:tblStylePr>
    <w:tblStylePr w:type="lastCol">
      <w:rPr>
        <w:b/>
        <w:color w:val="664f82" w:themeColor="accent4" w:themeTint="9A" w:themeShade="95"/>
      </w:rPr>
      <w:pPr>
        <w:pBdr/>
        <w:spacing/>
        <w:ind/>
      </w:pPr>
      <w:tblPr>
        <w:tblBorders/>
      </w:tblPr>
      <w:tcPr>
        <w:tcBorders/>
      </w:tcPr>
    </w:tblStylePr>
    <w:tblStylePr w:type="lastRow">
      <w:rPr>
        <w:b/>
        <w:color w:val="664f82"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4">
    <w:name w:val="List Table 6 Colorful - Accent 5"/>
    <w:basedOn w:val="66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1eaf0" w:themeFill="accent5" w:themeFillTint="40"/>
        <w:tcBorders/>
      </w:tcPr>
    </w:tblStylePr>
    <w:tblStylePr w:type="band1Vert">
      <w:pPr>
        <w:pBdr/>
        <w:spacing/>
        <w:ind/>
      </w:pPr>
      <w:tblPr>
        <w:tblBorders/>
      </w:tblPr>
      <w:tcPr>
        <w:shd w:val="clear" w:color="ffffff" w:themeColor="accent5" w:themeTint="40" w:fill="d1ea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8aa0" w:themeColor="accent5" w:themeTint="9A" w:themeShade="95"/>
      </w:rPr>
      <w:pPr>
        <w:pBdr/>
        <w:spacing/>
        <w:ind/>
      </w:pPr>
      <w:tblPr>
        <w:tblBorders/>
      </w:tblPr>
      <w:tcPr>
        <w:tcBorders/>
      </w:tcPr>
    </w:tblStylePr>
    <w:tblStylePr w:type="firstRow">
      <w:rPr>
        <w:b/>
        <w:color w:val="338aa0" w:themeColor="accent5" w:themeTint="9A" w:themeShade="95"/>
      </w:rPr>
      <w:pPr>
        <w:pBdr/>
        <w:spacing/>
        <w:ind/>
      </w:pPr>
      <w:tblPr>
        <w:tblBorders/>
      </w:tblPr>
      <w:tcPr>
        <w:tcBorders>
          <w:bottom w:val="single" w:color="000000" w:themeColor="accent5" w:themeTint="9A" w:sz="4" w:space="0"/>
        </w:tcBorders>
      </w:tcPr>
    </w:tblStylePr>
    <w:tblStylePr w:type="lastCol">
      <w:rPr>
        <w:b/>
        <w:color w:val="338aa0" w:themeColor="accent5" w:themeTint="9A" w:themeShade="95"/>
      </w:rPr>
      <w:pPr>
        <w:pBdr/>
        <w:spacing/>
        <w:ind/>
      </w:pPr>
      <w:tblPr>
        <w:tblBorders/>
      </w:tblPr>
      <w:tcPr>
        <w:tcBorders/>
      </w:tcPr>
    </w:tblStylePr>
    <w:tblStylePr w:type="lastRow">
      <w:rPr>
        <w:b/>
        <w:color w:val="338aa0"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5">
    <w:name w:val="List Table 6 Colorful - Accent 6"/>
    <w:basedOn w:val="66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ce4d1" w:themeFill="accent6" w:themeFillTint="40"/>
        <w:tcBorders/>
      </w:tcPr>
    </w:tblStylePr>
    <w:tblStylePr w:type="band1Vert">
      <w:pPr>
        <w:pBdr/>
        <w:spacing/>
        <w:ind/>
      </w:pPr>
      <w:tblPr>
        <w:tblBorders/>
      </w:tblPr>
      <w:tcPr>
        <w:shd w:val="clear" w:color="ffffff" w:themeColor="accent6" w:themeTint="40" w:fill="fce4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9680c" w:themeColor="accent6" w:themeTint="98" w:themeShade="95"/>
      </w:rPr>
      <w:pPr>
        <w:pBdr/>
        <w:spacing/>
        <w:ind/>
      </w:pPr>
      <w:tblPr>
        <w:tblBorders/>
      </w:tblPr>
      <w:tcPr>
        <w:tcBorders/>
      </w:tcPr>
    </w:tblStylePr>
    <w:tblStylePr w:type="firstRow">
      <w:rPr>
        <w:b/>
        <w:color w:val="d9680c" w:themeColor="accent6" w:themeTint="98" w:themeShade="95"/>
      </w:rPr>
      <w:pPr>
        <w:pBdr/>
        <w:spacing/>
        <w:ind/>
      </w:pPr>
      <w:tblPr>
        <w:tblBorders/>
      </w:tblPr>
      <w:tcPr>
        <w:tcBorders>
          <w:bottom w:val="single" w:color="000000" w:themeColor="accent6" w:themeTint="98" w:sz="4" w:space="0"/>
        </w:tcBorders>
      </w:tcPr>
    </w:tblStylePr>
    <w:tblStylePr w:type="lastCol">
      <w:rPr>
        <w:b/>
        <w:color w:val="d9680c" w:themeColor="accent6" w:themeTint="98" w:themeShade="95"/>
      </w:rPr>
      <w:pPr>
        <w:pBdr/>
        <w:spacing/>
        <w:ind/>
      </w:pPr>
      <w:tblPr>
        <w:tblBorders/>
      </w:tblPr>
      <w:tcPr>
        <w:tcBorders/>
      </w:tcPr>
    </w:tblStylePr>
    <w:tblStylePr w:type="lastRow">
      <w:rPr>
        <w:b/>
        <w:color w:val="d9680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6">
    <w:name w:val="List Table 7 Colorful"/>
    <w:basedOn w:val="66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47">
    <w:name w:val="List Table 7 Colorful - Accent 1"/>
    <w:basedOn w:val="66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a4b71" w:themeColor="accent1" w:themeShade="95"/>
        <w:sz w:val="22"/>
      </w:rPr>
      <w:pPr>
        <w:pBdr/>
        <w:spacing/>
        <w:ind/>
      </w:pPr>
      <w:tblPr>
        <w:tblBorders/>
      </w:tblPr>
      <w:tcPr>
        <w:shd w:val="clear" w:color="ffffff" w:themeColor="accent1" w:themeTint="40" w:fill="d3e0ee" w:themeFill="accent1" w:themeFillTint="40"/>
        <w:tcBorders/>
      </w:tcPr>
    </w:tblStylePr>
    <w:tblStylePr w:type="band1Vert">
      <w:pPr>
        <w:pBdr/>
        <w:spacing/>
        <w:ind/>
      </w:pPr>
      <w:tblPr>
        <w:tblBorders/>
      </w:tblPr>
      <w:tcPr>
        <w:shd w:val="clear" w:color="ffffff" w:themeColor="accent1" w:themeTint="40" w:fill="d3e0ee" w:themeFill="accent1" w:themeFillTint="40"/>
        <w:tcBorders/>
      </w:tcPr>
    </w:tblStylePr>
    <w:tblStylePr w:type="band2Horz">
      <w:rPr>
        <w:rFonts w:ascii="Arial" w:hAnsi="Arial"/>
        <w:color w:val="2a4b71"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a4b71"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a4b71"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a4b71"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a4b71"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a4b71" w:themeColor="accent1" w:themeShade="95"/>
        <w:sz w:val="22"/>
      </w:rPr>
      <w:pPr>
        <w:pBdr/>
        <w:spacing/>
        <w:ind/>
      </w:pPr>
      <w:tblPr>
        <w:tblBorders/>
      </w:tblPr>
      <w:tcPr>
        <w:tcBorders/>
      </w:tcPr>
    </w:tblStylePr>
  </w:style>
  <w:style w:type="table" w:styleId="148">
    <w:name w:val="List Table 7 Colorful - Accent 2"/>
    <w:basedOn w:val="66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c3a37"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c3a37"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c3a37"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c3a37"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c3a37"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c3a37" w:themeColor="accent2" w:themeTint="97" w:themeShade="95"/>
        <w:sz w:val="22"/>
      </w:rPr>
      <w:pPr>
        <w:pBdr/>
        <w:spacing/>
        <w:ind/>
      </w:pPr>
      <w:tblPr>
        <w:tblBorders/>
      </w:tblPr>
      <w:tcPr>
        <w:tcBorders/>
      </w:tcPr>
    </w:tblStylePr>
  </w:style>
  <w:style w:type="table" w:styleId="149">
    <w:name w:val="List Table 7 Colorful - Accent 3"/>
    <w:basedOn w:val="66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8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8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8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8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8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8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83f" w:themeColor="accent3" w:themeTint="98" w:themeShade="95"/>
        <w:sz w:val="22"/>
      </w:rPr>
      <w:pPr>
        <w:pBdr/>
        <w:spacing/>
        <w:ind/>
      </w:pPr>
      <w:tblPr>
        <w:tblBorders/>
      </w:tblPr>
      <w:tcPr>
        <w:tcBorders/>
      </w:tcPr>
    </w:tblStylePr>
  </w:style>
  <w:style w:type="table" w:styleId="150">
    <w:name w:val="List Table 7 Colorful - Accent 4"/>
    <w:basedOn w:val="66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64f82" w:themeColor="accent4" w:themeTint="9A" w:themeShade="95"/>
        <w:sz w:val="22"/>
      </w:rPr>
      <w:pPr>
        <w:pBdr/>
        <w:spacing/>
        <w:ind/>
      </w:pPr>
      <w:tblPr>
        <w:tblBorders/>
      </w:tblPr>
      <w:tcPr>
        <w:shd w:val="clear" w:color="ffffff" w:themeColor="accent4" w:themeTint="40" w:fill="dfd8e7" w:themeFill="accent4" w:themeFillTint="40"/>
        <w:tcBorders/>
      </w:tcPr>
    </w:tblStylePr>
    <w:tblStylePr w:type="band1Vert">
      <w:pPr>
        <w:pBdr/>
        <w:spacing/>
        <w:ind/>
      </w:pPr>
      <w:tblPr>
        <w:tblBorders/>
      </w:tblPr>
      <w:tcPr>
        <w:shd w:val="clear" w:color="ffffff" w:themeColor="accent4" w:themeTint="40" w:fill="dfd8e7" w:themeFill="accent4" w:themeFillTint="40"/>
        <w:tcBorders/>
      </w:tcPr>
    </w:tblStylePr>
    <w:tblStylePr w:type="band2Horz">
      <w:rPr>
        <w:rFonts w:ascii="Arial" w:hAnsi="Arial"/>
        <w:color w:val="664f82"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2"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64f82"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64f82"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64f82" w:themeColor="accent4" w:themeTint="9A" w:themeShade="95"/>
        <w:sz w:val="22"/>
      </w:rPr>
      <w:pPr>
        <w:pBdr/>
        <w:spacing/>
        <w:ind/>
      </w:pPr>
      <w:tblPr>
        <w:tblBorders/>
      </w:tblPr>
      <w:tcPr>
        <w:tcBorders/>
      </w:tcPr>
    </w:tblStylePr>
  </w:style>
  <w:style w:type="table" w:styleId="151">
    <w:name w:val="List Table 7 Colorful - Accent 5"/>
    <w:basedOn w:val="66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8aa0" w:themeColor="accent5" w:themeTint="9A" w:themeShade="95"/>
        <w:sz w:val="22"/>
      </w:rPr>
      <w:pPr>
        <w:pBdr/>
        <w:spacing/>
        <w:ind/>
      </w:pPr>
      <w:tblPr>
        <w:tblBorders/>
      </w:tblPr>
      <w:tcPr>
        <w:shd w:val="clear" w:color="ffffff" w:themeColor="accent5" w:themeTint="40" w:fill="d1eaf0" w:themeFill="accent5" w:themeFillTint="40"/>
        <w:tcBorders/>
      </w:tcPr>
    </w:tblStylePr>
    <w:tblStylePr w:type="band1Vert">
      <w:pPr>
        <w:pBdr/>
        <w:spacing/>
        <w:ind/>
      </w:pPr>
      <w:tblPr>
        <w:tblBorders/>
      </w:tblPr>
      <w:tcPr>
        <w:shd w:val="clear" w:color="ffffff" w:themeColor="accent5" w:themeTint="40" w:fill="d1eaf0" w:themeFill="accent5" w:themeFillTint="40"/>
        <w:tcBorders/>
      </w:tcPr>
    </w:tblStylePr>
    <w:tblStylePr w:type="band2Horz">
      <w:rPr>
        <w:rFonts w:ascii="Arial" w:hAnsi="Arial"/>
        <w:color w:val="338aa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8aa0"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38aa0"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8aa0"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38aa0"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8aa0" w:themeColor="accent5" w:themeTint="9A" w:themeShade="95"/>
        <w:sz w:val="22"/>
      </w:rPr>
      <w:pPr>
        <w:pBdr/>
        <w:spacing/>
        <w:ind/>
      </w:pPr>
      <w:tblPr>
        <w:tblBorders/>
      </w:tblPr>
      <w:tcPr>
        <w:tcBorders/>
      </w:tcPr>
    </w:tblStylePr>
  </w:style>
  <w:style w:type="table" w:styleId="152">
    <w:name w:val="List Table 7 Colorful - Accent 6"/>
    <w:basedOn w:val="66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9680c" w:themeColor="accent6" w:themeTint="98" w:themeShade="95"/>
        <w:sz w:val="22"/>
      </w:rPr>
      <w:pPr>
        <w:pBdr/>
        <w:spacing/>
        <w:ind/>
      </w:pPr>
      <w:tblPr>
        <w:tblBorders/>
      </w:tblPr>
      <w:tcPr>
        <w:shd w:val="clear" w:color="ffffff" w:themeColor="accent6" w:themeTint="40" w:fill="fce4d1" w:themeFill="accent6" w:themeFillTint="40"/>
        <w:tcBorders/>
      </w:tcPr>
    </w:tblStylePr>
    <w:tblStylePr w:type="band1Vert">
      <w:pPr>
        <w:pBdr/>
        <w:spacing/>
        <w:ind/>
      </w:pPr>
      <w:tblPr>
        <w:tblBorders/>
      </w:tblPr>
      <w:tcPr>
        <w:shd w:val="clear" w:color="ffffff" w:themeColor="accent6" w:themeTint="40" w:fill="fce4d1" w:themeFill="accent6" w:themeFillTint="40"/>
        <w:tcBorders/>
      </w:tcPr>
    </w:tblStylePr>
    <w:tblStylePr w:type="band2Horz">
      <w:rPr>
        <w:rFonts w:ascii="Arial" w:hAnsi="Arial"/>
        <w:color w:val="d9680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9680c"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9680c"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9680c"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9680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9680c" w:themeColor="accent6" w:themeTint="98" w:themeShade="95"/>
        <w:sz w:val="22"/>
      </w:rPr>
      <w:pPr>
        <w:pBdr/>
        <w:spacing/>
        <w:ind/>
      </w:pPr>
      <w:tblPr>
        <w:tblBorders/>
      </w:tblPr>
      <w:tcPr>
        <w:tcBorders/>
      </w:tcPr>
    </w:tblStylePr>
  </w:style>
  <w:style w:type="table" w:styleId="153">
    <w:name w:val="Lined - Accent"/>
    <w:basedOn w:val="66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4">
    <w:name w:val="Lined - Accent 1"/>
    <w:basedOn w:val="66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5">
    <w:name w:val="Lined - Accent 2"/>
    <w:basedOn w:val="66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6">
    <w:name w:val="Lined - Accent 3"/>
    <w:basedOn w:val="66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7">
    <w:name w:val="Lined - Accent 4"/>
    <w:basedOn w:val="66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8">
    <w:name w:val="Lined - Accent 5"/>
    <w:basedOn w:val="66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9">
    <w:name w:val="Lined - Accent 6"/>
    <w:basedOn w:val="66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0">
    <w:name w:val="Bordered &amp; Lined - Accent"/>
    <w:basedOn w:val="66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1">
    <w:name w:val="Bordered &amp; Lined - Accent 1"/>
    <w:basedOn w:val="66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2">
    <w:name w:val="Bordered &amp; Lined - Accent 2"/>
    <w:basedOn w:val="66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3">
    <w:name w:val="Bordered &amp; Lined - Accent 3"/>
    <w:basedOn w:val="66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4">
    <w:name w:val="Bordered &amp; Lined - Accent 4"/>
    <w:basedOn w:val="66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5">
    <w:name w:val="Bordered &amp; Lined - Accent 5"/>
    <w:basedOn w:val="66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6">
    <w:name w:val="Bordered &amp; Lined - Accent 6"/>
    <w:basedOn w:val="66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7">
    <w:name w:val="Bordered"/>
    <w:basedOn w:val="66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8">
    <w:name w:val="Bordered - Accent 1"/>
    <w:basedOn w:val="66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9">
    <w:name w:val="Bordered - Accent 2"/>
    <w:basedOn w:val="66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0">
    <w:name w:val="Bordered - Accent 3"/>
    <w:basedOn w:val="66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1">
    <w:name w:val="Bordered - Accent 4"/>
    <w:basedOn w:val="66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2">
    <w:name w:val="Bordered - Accent 5"/>
    <w:basedOn w:val="66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3">
    <w:name w:val="Bordered - Accent 6"/>
    <w:basedOn w:val="66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174">
    <w:name w:val="Hyperlink"/>
    <w:uiPriority w:val="99"/>
    <w:unhideWhenUsed/>
    <w:pPr>
      <w:pBdr/>
      <w:spacing/>
      <w:ind/>
    </w:pPr>
    <w:rPr>
      <w:color w:val="0000ff" w:themeColor="hyperlink"/>
      <w:u w:val="single"/>
    </w:rPr>
  </w:style>
  <w:style w:type="paragraph" w:styleId="175">
    <w:name w:val="footnote text"/>
    <w:basedOn w:val="658"/>
    <w:link w:val="176"/>
    <w:uiPriority w:val="99"/>
    <w:semiHidden/>
    <w:unhideWhenUsed/>
    <w:pPr>
      <w:pBdr/>
      <w:spacing w:after="40" w:line="240" w:lineRule="auto"/>
      <w:ind/>
    </w:pPr>
    <w:rPr>
      <w:sz w:val="18"/>
    </w:rPr>
  </w:style>
  <w:style w:type="character" w:styleId="176">
    <w:name w:val="Footnote Text Char"/>
    <w:link w:val="175"/>
    <w:uiPriority w:val="99"/>
    <w:pPr>
      <w:pBdr/>
      <w:spacing/>
      <w:ind/>
    </w:pPr>
    <w:rPr>
      <w:sz w:val="18"/>
    </w:rPr>
  </w:style>
  <w:style w:type="character" w:styleId="177">
    <w:name w:val="footnote reference"/>
    <w:basedOn w:val="662"/>
    <w:uiPriority w:val="99"/>
    <w:unhideWhenUsed/>
    <w:pPr>
      <w:pBdr/>
      <w:spacing/>
      <w:ind/>
    </w:pPr>
    <w:rPr>
      <w:vertAlign w:val="superscript"/>
    </w:rPr>
  </w:style>
  <w:style w:type="paragraph" w:styleId="178">
    <w:name w:val="endnote text"/>
    <w:basedOn w:val="658"/>
    <w:link w:val="179"/>
    <w:uiPriority w:val="99"/>
    <w:semiHidden/>
    <w:unhideWhenUsed/>
    <w:pPr>
      <w:pBdr/>
      <w:spacing w:after="0" w:line="240" w:lineRule="auto"/>
      <w:ind/>
    </w:pPr>
    <w:rPr>
      <w:sz w:val="20"/>
    </w:rPr>
  </w:style>
  <w:style w:type="character" w:styleId="179">
    <w:name w:val="Endnote Text Char"/>
    <w:link w:val="178"/>
    <w:uiPriority w:val="99"/>
    <w:pPr>
      <w:pBdr/>
      <w:spacing/>
      <w:ind/>
    </w:pPr>
    <w:rPr>
      <w:sz w:val="20"/>
    </w:rPr>
  </w:style>
  <w:style w:type="character" w:styleId="180">
    <w:name w:val="endnote reference"/>
    <w:basedOn w:val="662"/>
    <w:uiPriority w:val="99"/>
    <w:semiHidden/>
    <w:unhideWhenUsed/>
    <w:pPr>
      <w:pBdr/>
      <w:spacing/>
      <w:ind/>
    </w:pPr>
    <w:rPr>
      <w:vertAlign w:val="superscript"/>
    </w:rPr>
  </w:style>
  <w:style w:type="paragraph" w:styleId="181">
    <w:name w:val="toc 1"/>
    <w:basedOn w:val="658"/>
    <w:next w:val="658"/>
    <w:uiPriority w:val="39"/>
    <w:unhideWhenUsed/>
    <w:pPr>
      <w:pBdr/>
      <w:spacing w:after="57"/>
      <w:ind w:right="0" w:firstLine="0" w:left="0"/>
    </w:pPr>
  </w:style>
  <w:style w:type="paragraph" w:styleId="182">
    <w:name w:val="toc 2"/>
    <w:basedOn w:val="658"/>
    <w:next w:val="658"/>
    <w:uiPriority w:val="39"/>
    <w:unhideWhenUsed/>
    <w:pPr>
      <w:pBdr/>
      <w:spacing w:after="57"/>
      <w:ind w:right="0" w:firstLine="0" w:left="283"/>
    </w:pPr>
  </w:style>
  <w:style w:type="paragraph" w:styleId="183">
    <w:name w:val="toc 3"/>
    <w:basedOn w:val="658"/>
    <w:next w:val="658"/>
    <w:uiPriority w:val="39"/>
    <w:unhideWhenUsed/>
    <w:pPr>
      <w:pBdr/>
      <w:spacing w:after="57"/>
      <w:ind w:right="0" w:firstLine="0" w:left="567"/>
    </w:pPr>
  </w:style>
  <w:style w:type="paragraph" w:styleId="184">
    <w:name w:val="toc 4"/>
    <w:basedOn w:val="658"/>
    <w:next w:val="658"/>
    <w:uiPriority w:val="39"/>
    <w:unhideWhenUsed/>
    <w:pPr>
      <w:pBdr/>
      <w:spacing w:after="57"/>
      <w:ind w:right="0" w:firstLine="0" w:left="850"/>
    </w:pPr>
  </w:style>
  <w:style w:type="paragraph" w:styleId="185">
    <w:name w:val="toc 5"/>
    <w:basedOn w:val="658"/>
    <w:next w:val="658"/>
    <w:uiPriority w:val="39"/>
    <w:unhideWhenUsed/>
    <w:pPr>
      <w:pBdr/>
      <w:spacing w:after="57"/>
      <w:ind w:right="0" w:firstLine="0" w:left="1134"/>
    </w:pPr>
  </w:style>
  <w:style w:type="paragraph" w:styleId="186">
    <w:name w:val="toc 6"/>
    <w:basedOn w:val="658"/>
    <w:next w:val="658"/>
    <w:uiPriority w:val="39"/>
    <w:unhideWhenUsed/>
    <w:pPr>
      <w:pBdr/>
      <w:spacing w:after="57"/>
      <w:ind w:right="0" w:firstLine="0" w:left="1417"/>
    </w:pPr>
  </w:style>
  <w:style w:type="paragraph" w:styleId="187">
    <w:name w:val="toc 7"/>
    <w:basedOn w:val="658"/>
    <w:next w:val="658"/>
    <w:uiPriority w:val="39"/>
    <w:unhideWhenUsed/>
    <w:pPr>
      <w:pBdr/>
      <w:spacing w:after="57"/>
      <w:ind w:right="0" w:firstLine="0" w:left="1701"/>
    </w:pPr>
  </w:style>
  <w:style w:type="paragraph" w:styleId="188">
    <w:name w:val="toc 8"/>
    <w:basedOn w:val="658"/>
    <w:next w:val="658"/>
    <w:uiPriority w:val="39"/>
    <w:unhideWhenUsed/>
    <w:pPr>
      <w:pBdr/>
      <w:spacing w:after="57"/>
      <w:ind w:right="0" w:firstLine="0" w:left="1984"/>
    </w:pPr>
  </w:style>
  <w:style w:type="paragraph" w:styleId="189">
    <w:name w:val="toc 9"/>
    <w:basedOn w:val="658"/>
    <w:next w:val="658"/>
    <w:uiPriority w:val="39"/>
    <w:unhideWhenUsed/>
    <w:pPr>
      <w:pBdr/>
      <w:spacing w:after="57"/>
      <w:ind w:right="0" w:firstLine="0" w:left="2268"/>
    </w:pPr>
  </w:style>
  <w:style w:type="paragraph" w:styleId="190">
    <w:name w:val="TOC Heading"/>
    <w:uiPriority w:val="39"/>
    <w:unhideWhenUsed/>
    <w:pPr>
      <w:pBdr/>
      <w:spacing/>
      <w:ind/>
    </w:pPr>
  </w:style>
  <w:style w:type="paragraph" w:styleId="191">
    <w:name w:val="table of figures"/>
    <w:basedOn w:val="658"/>
    <w:next w:val="658"/>
    <w:uiPriority w:val="99"/>
    <w:unhideWhenUsed/>
    <w:pPr>
      <w:pBdr/>
      <w:spacing w:after="0" w:afterAutospacing="0"/>
      <w:ind/>
    </w:pPr>
  </w:style>
  <w:style w:type="paragraph" w:styleId="658" w:default="1">
    <w:name w:val="Normal"/>
    <w:uiPriority w:val="0"/>
    <w:pPr>
      <w:widowControl w:val="false"/>
      <w:pBdr/>
      <w:spacing/>
      <w:ind/>
      <w:jc w:val="both"/>
    </w:pPr>
    <w:rPr>
      <w:rFonts w:ascii="Times New Roman" w:hAnsi="Times New Roman" w:eastAsia="仿宋_GB2312" w:cs="Times New Roman"/>
      <w:sz w:val="32"/>
      <w:szCs w:val="32"/>
      <w:lang w:val="en-US" w:eastAsia="zh-CN" w:bidi="ar-SA"/>
    </w:rPr>
  </w:style>
  <w:style w:type="paragraph" w:styleId="659">
    <w:name w:val="Heading 1"/>
    <w:next w:val="664"/>
    <w:link w:val="679"/>
    <w:uiPriority w:val="0"/>
    <w:qFormat/>
    <w:pPr>
      <w:widowControl w:val="false"/>
      <w:pBdr/>
      <w:spacing/>
      <w:ind w:firstLine="200"/>
      <w:jc w:val="both"/>
      <w:outlineLvl w:val="0"/>
    </w:pPr>
    <w:rPr>
      <w:rFonts w:ascii="Times New Roman" w:hAnsi="Times New Roman" w:eastAsia="黑体" w:cs="Times New Roman"/>
      <w:sz w:val="32"/>
      <w:lang w:val="en-US" w:eastAsia="zh-CN" w:bidi="ar-SA"/>
    </w:rPr>
  </w:style>
  <w:style w:type="paragraph" w:styleId="660">
    <w:name w:val="Heading 2"/>
    <w:next w:val="664"/>
    <w:link w:val="680"/>
    <w:uiPriority w:val="0"/>
    <w:unhideWhenUsed/>
    <w:qFormat/>
    <w:pPr>
      <w:widowControl w:val="false"/>
      <w:pBdr/>
      <w:spacing/>
      <w:ind w:firstLine="200"/>
      <w:jc w:val="both"/>
      <w:outlineLvl w:val="1"/>
    </w:pPr>
    <w:rPr>
      <w:rFonts w:ascii="Times New Roman" w:hAnsi="Times New Roman" w:eastAsia="楷体_GB2312" w:cs="Times New Roman"/>
      <w:bCs/>
      <w:sz w:val="32"/>
      <w:szCs w:val="32"/>
      <w:lang w:val="en-US" w:eastAsia="zh-CN" w:bidi="ar-SA"/>
    </w:rPr>
  </w:style>
  <w:style w:type="paragraph" w:styleId="661">
    <w:name w:val="Heading 3"/>
    <w:basedOn w:val="658"/>
    <w:next w:val="664"/>
    <w:link w:val="681"/>
    <w:uiPriority w:val="9"/>
    <w:unhideWhenUsed/>
    <w:qFormat/>
    <w:pPr>
      <w:numPr>
        <w:ilvl w:val="0"/>
        <w:numId w:val="1"/>
      </w:numPr>
      <w:pBdr/>
      <w:spacing w:line="579" w:lineRule="exact"/>
      <w:ind w:firstLine="624"/>
      <w:outlineLvl w:val="2"/>
    </w:pPr>
    <w:rPr>
      <w:szCs w:val="20"/>
    </w:rPr>
  </w:style>
  <w:style w:type="character" w:styleId="662" w:default="1">
    <w:name w:val="Default Paragraph Font"/>
    <w:uiPriority w:val="1"/>
    <w:semiHidden/>
    <w:unhideWhenUsed/>
    <w:qFormat/>
    <w:pPr>
      <w:pBdr/>
      <w:spacing/>
      <w:ind/>
    </w:pPr>
  </w:style>
  <w:style w:type="table" w:styleId="663" w:default="1">
    <w:name w:val="Normal Table"/>
    <w:uiPriority w:val="99"/>
    <w:semiHidden/>
    <w:unhideWhenUsed/>
    <w:qFormat/>
    <w:pPr>
      <w:pBdr/>
      <w:spacing/>
      <w:ind/>
    </w:pPr>
    <w:tblPr>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664">
    <w:name w:val="Normal Indent"/>
    <w:uiPriority w:val="0"/>
    <w:unhideWhenUsed/>
    <w:qFormat/>
    <w:pPr>
      <w:widowControl w:val="false"/>
      <w:pBdr/>
      <w:spacing/>
      <w:ind w:firstLine="200"/>
      <w:jc w:val="both"/>
    </w:pPr>
    <w:rPr>
      <w:rFonts w:ascii="Times New Roman" w:hAnsi="Times New Roman" w:eastAsia="仿宋_GB2312" w:cs="Times New Roman"/>
      <w:sz w:val="32"/>
      <w:lang w:val="en-US" w:eastAsia="zh-CN" w:bidi="ar-SA"/>
    </w:rPr>
  </w:style>
  <w:style w:type="paragraph" w:styleId="665">
    <w:name w:val="Caption"/>
    <w:next w:val="658"/>
    <w:uiPriority w:val="35"/>
    <w:semiHidden/>
    <w:unhideWhenUsed/>
    <w:qFormat/>
    <w:pPr>
      <w:pBdr/>
      <w:spacing w:line="337" w:lineRule="exact"/>
      <w:ind/>
      <w:jc w:val="both"/>
    </w:pPr>
    <w:rPr>
      <w:rFonts w:ascii="Times New Roman" w:hAnsi="Times New Roman" w:eastAsia="仿宋_GB2312" w:cs="Times New Roman"/>
      <w:sz w:val="32"/>
      <w:lang w:val="en-US" w:eastAsia="zh-CN" w:bidi="ar-SA"/>
    </w:rPr>
  </w:style>
  <w:style w:type="paragraph" w:styleId="666">
    <w:name w:val="Date"/>
    <w:basedOn w:val="658"/>
    <w:next w:val="658"/>
    <w:link w:val="693"/>
    <w:uiPriority w:val="99"/>
    <w:semiHidden/>
    <w:unhideWhenUsed/>
    <w:qFormat/>
    <w:pPr>
      <w:pBdr/>
      <w:spacing/>
      <w:ind w:left="100"/>
    </w:pPr>
  </w:style>
  <w:style w:type="paragraph" w:styleId="667">
    <w:name w:val="Balloon Text"/>
    <w:basedOn w:val="658"/>
    <w:link w:val="682"/>
    <w:uiPriority w:val="99"/>
    <w:semiHidden/>
    <w:unhideWhenUsed/>
    <w:qFormat/>
    <w:pPr>
      <w:pBdr/>
      <w:spacing/>
      <w:ind/>
    </w:pPr>
    <w:rPr>
      <w:sz w:val="18"/>
      <w:szCs w:val="18"/>
    </w:rPr>
  </w:style>
  <w:style w:type="paragraph" w:styleId="668">
    <w:name w:val="Footer"/>
    <w:basedOn w:val="658"/>
    <w:uiPriority w:val="0"/>
    <w:qFormat/>
    <w:pPr>
      <w:pBdr/>
      <w:tabs>
        <w:tab w:val="center" w:leader="none" w:pos="4153"/>
        <w:tab w:val="right" w:leader="none" w:pos="8306"/>
      </w:tabs>
      <w:spacing w:line="240" w:lineRule="atLeast"/>
      <w:ind/>
    </w:pPr>
    <w:rPr>
      <w:sz w:val="20"/>
      <w:szCs w:val="20"/>
    </w:rPr>
  </w:style>
  <w:style w:type="paragraph" w:styleId="669">
    <w:name w:val="Header"/>
    <w:basedOn w:val="658"/>
    <w:uiPriority w:val="0"/>
    <w:qFormat/>
    <w:pPr>
      <w:pBdr/>
      <w:tabs>
        <w:tab w:val="center" w:leader="none" w:pos="4153"/>
        <w:tab w:val="right" w:leader="none" w:pos="8306"/>
      </w:tabs>
      <w:spacing w:line="240" w:lineRule="atLeast"/>
      <w:ind/>
    </w:pPr>
    <w:rPr>
      <w:sz w:val="20"/>
      <w:szCs w:val="20"/>
    </w:rPr>
  </w:style>
  <w:style w:type="paragraph" w:styleId="670">
    <w:name w:val="index heading"/>
    <w:next w:val="671"/>
    <w:uiPriority w:val="99"/>
    <w:semiHidden/>
    <w:unhideWhenUsed/>
    <w:qFormat/>
    <w:pPr>
      <w:widowControl w:val="false"/>
      <w:pBdr/>
      <w:spacing w:line="337" w:lineRule="exact"/>
      <w:ind/>
      <w:jc w:val="both"/>
    </w:pPr>
    <w:rPr>
      <w:rFonts w:ascii="等线 Light" w:hAnsi="等线 Light" w:eastAsia="仿宋_GB2312" w:cs="Times New Roman"/>
      <w:bCs/>
      <w:sz w:val="32"/>
      <w:lang w:val="en-US" w:eastAsia="zh-CN" w:bidi="ar-SA"/>
    </w:rPr>
  </w:style>
  <w:style w:type="paragraph" w:styleId="671">
    <w:name w:val="index 1"/>
    <w:basedOn w:val="658"/>
    <w:next w:val="658"/>
    <w:uiPriority w:val="99"/>
    <w:semiHidden/>
    <w:unhideWhenUsed/>
    <w:qFormat/>
    <w:pPr>
      <w:pBdr/>
      <w:spacing w:line="579" w:lineRule="exact"/>
      <w:ind/>
    </w:pPr>
    <w:rPr>
      <w:szCs w:val="20"/>
    </w:rPr>
  </w:style>
  <w:style w:type="paragraph" w:styleId="672">
    <w:name w:val="Subtitle"/>
    <w:basedOn w:val="658"/>
    <w:next w:val="673"/>
    <w:link w:val="683"/>
    <w:uiPriority w:val="11"/>
    <w:qFormat/>
    <w:pPr>
      <w:numPr>
        <w:ilvl w:val="0"/>
        <w:numId w:val="2"/>
      </w:numPr>
      <w:pBdr/>
      <w:spacing w:line="579" w:lineRule="exact"/>
      <w:ind w:firstLine="629"/>
      <w:outlineLvl w:val="3"/>
    </w:pPr>
    <w:rPr>
      <w:szCs w:val="20"/>
    </w:rPr>
  </w:style>
  <w:style w:type="paragraph" w:styleId="673">
    <w:name w:val="No Spacing"/>
    <w:next w:val="658"/>
    <w:link w:val="690"/>
    <w:uiPriority w:val="0"/>
    <w:qFormat/>
    <w:pPr>
      <w:widowControl w:val="false"/>
      <w:pBdr/>
      <w:spacing/>
      <w:ind/>
      <w:jc w:val="both"/>
    </w:pPr>
    <w:rPr>
      <w:rFonts w:ascii="Times New Roman" w:hAnsi="Times New Roman" w:eastAsia="仿宋_GB2312" w:cs="Times New Roman"/>
      <w:sz w:val="32"/>
      <w:lang w:val="en-US" w:eastAsia="zh-CN" w:bidi="ar-SA"/>
    </w:rPr>
  </w:style>
  <w:style w:type="paragraph" w:styleId="674">
    <w:name w:val="Normal (Web)"/>
    <w:basedOn w:val="658"/>
    <w:uiPriority w:val="0"/>
    <w:qFormat/>
    <w:pPr>
      <w:pBdr/>
      <w:spacing w:after="100" w:afterAutospacing="1" w:before="100" w:beforeAutospacing="1"/>
      <w:ind/>
      <w:jc w:val="left"/>
    </w:pPr>
    <w:rPr>
      <w:rFonts w:eastAsia="宋体" w:cs="宋体"/>
      <w:sz w:val="24"/>
      <w:szCs w:val="24"/>
    </w:rPr>
  </w:style>
  <w:style w:type="paragraph" w:styleId="675">
    <w:name w:val="Title"/>
    <w:next w:val="673"/>
    <w:link w:val="688"/>
    <w:uiPriority w:val="10"/>
    <w:qFormat/>
    <w:pPr>
      <w:widowControl w:val="false"/>
      <w:pBdr/>
      <w:spacing/>
      <w:ind w:firstLine="200"/>
      <w:jc w:val="both"/>
      <w:outlineLvl w:val="0"/>
    </w:pPr>
    <w:rPr>
      <w:rFonts w:ascii="宋体" w:hAnsi="宋体" w:eastAsia="黑体" w:cs="Times New Roman"/>
      <w:bCs/>
      <w:sz w:val="32"/>
      <w:szCs w:val="32"/>
      <w:lang w:val="en-US" w:eastAsia="zh-CN" w:bidi="ar-SA"/>
    </w:rPr>
  </w:style>
  <w:style w:type="table" w:styleId="676">
    <w:name w:val="Table Grid"/>
    <w:basedOn w:val="663"/>
    <w:uiPriority w:val="59"/>
    <w:qFormat/>
    <w:pPr>
      <w:pBdr/>
      <w:spacing/>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677">
    <w:name w:val="page number"/>
    <w:basedOn w:val="662"/>
    <w:uiPriority w:val="0"/>
    <w:qFormat/>
    <w:pPr>
      <w:pBdr/>
      <w:spacing/>
      <w:ind/>
    </w:pPr>
  </w:style>
  <w:style w:type="character" w:styleId="678">
    <w:name w:val="line number"/>
    <w:basedOn w:val="662"/>
    <w:uiPriority w:val="0"/>
    <w:qFormat/>
    <w:pPr>
      <w:pBdr/>
      <w:spacing/>
      <w:ind/>
    </w:pPr>
  </w:style>
  <w:style w:type="character" w:styleId="679" w:customStyle="1">
    <w:name w:val="标题 1 Char"/>
    <w:link w:val="659"/>
    <w:uiPriority w:val="0"/>
    <w:qFormat/>
    <w:pPr>
      <w:pBdr/>
      <w:spacing/>
      <w:ind/>
    </w:pPr>
    <w:rPr>
      <w:rFonts w:eastAsia="黑体"/>
      <w:sz w:val="32"/>
    </w:rPr>
  </w:style>
  <w:style w:type="character" w:styleId="680" w:customStyle="1">
    <w:name w:val="标题 2 Char"/>
    <w:link w:val="660"/>
    <w:uiPriority w:val="0"/>
    <w:qFormat/>
    <w:pPr>
      <w:pBdr/>
      <w:spacing/>
      <w:ind/>
    </w:pPr>
    <w:rPr>
      <w:rFonts w:eastAsia="楷体_GB2312"/>
      <w:bCs/>
      <w:sz w:val="32"/>
      <w:szCs w:val="32"/>
    </w:rPr>
  </w:style>
  <w:style w:type="character" w:styleId="681" w:customStyle="1">
    <w:name w:val="标题 3 Char"/>
    <w:link w:val="661"/>
    <w:uiPriority w:val="9"/>
    <w:qFormat/>
    <w:pPr>
      <w:pBdr/>
      <w:spacing/>
      <w:ind/>
    </w:pPr>
    <w:rPr>
      <w:rFonts w:eastAsia="仿宋_GB2312"/>
      <w:sz w:val="32"/>
    </w:rPr>
  </w:style>
  <w:style w:type="character" w:styleId="682" w:customStyle="1">
    <w:name w:val="批注框文本 Char"/>
    <w:link w:val="667"/>
    <w:uiPriority w:val="99"/>
    <w:semiHidden/>
    <w:qFormat/>
    <w:pPr>
      <w:pBdr/>
      <w:spacing/>
      <w:ind/>
    </w:pPr>
    <w:rPr>
      <w:rFonts w:eastAsia="仿宋_GB2312"/>
      <w:spacing w:val="-6"/>
      <w:sz w:val="18"/>
      <w:szCs w:val="18"/>
    </w:rPr>
  </w:style>
  <w:style w:type="character" w:styleId="683" w:customStyle="1">
    <w:name w:val="副标题 Char"/>
    <w:link w:val="672"/>
    <w:uiPriority w:val="11"/>
    <w:qFormat/>
    <w:pPr>
      <w:pBdr/>
      <w:spacing/>
      <w:ind/>
    </w:pPr>
    <w:rPr>
      <w:rFonts w:eastAsia="仿宋_GB2312"/>
      <w:sz w:val="32"/>
    </w:rPr>
  </w:style>
  <w:style w:type="paragraph" w:styleId="684" w:customStyle="1">
    <w:name w:val="主标题"/>
    <w:link w:val="685"/>
    <w:uiPriority w:val="0"/>
    <w:qFormat/>
    <w:pPr>
      <w:widowControl w:val="false"/>
      <w:pBdr/>
      <w:spacing/>
      <w:ind/>
      <w:jc w:val="center"/>
    </w:pPr>
    <w:rPr>
      <w:rFonts w:ascii="Times New Roman" w:hAnsi="Times New Roman" w:eastAsia="方正小标宋简体" w:cs="Times New Roman"/>
      <w:sz w:val="44"/>
      <w:lang w:val="en-US" w:eastAsia="zh-CN" w:bidi="ar-SA"/>
    </w:rPr>
  </w:style>
  <w:style w:type="character" w:styleId="685" w:customStyle="1">
    <w:name w:val="主标题 字符"/>
    <w:link w:val="684"/>
    <w:uiPriority w:val="0"/>
    <w:qFormat/>
    <w:pPr>
      <w:pBdr/>
      <w:spacing/>
      <w:ind/>
    </w:pPr>
    <w:rPr>
      <w:rFonts w:eastAsia="方正小标宋简体"/>
      <w:sz w:val="44"/>
    </w:rPr>
  </w:style>
  <w:style w:type="character" w:styleId="686" w:customStyle="1">
    <w:name w:val="1级标题 字符"/>
    <w:uiPriority w:val="0"/>
    <w:qFormat/>
    <w:pPr>
      <w:pBdr/>
      <w:spacing/>
      <w:ind/>
    </w:pPr>
    <w:rPr>
      <w:rFonts w:eastAsia="黑体"/>
      <w:sz w:val="32"/>
    </w:rPr>
  </w:style>
  <w:style w:type="character" w:styleId="687" w:customStyle="1">
    <w:name w:val="2级标题 字符"/>
    <w:uiPriority w:val="0"/>
    <w:qFormat/>
    <w:pPr>
      <w:pBdr/>
      <w:spacing/>
      <w:ind/>
    </w:pPr>
    <w:rPr>
      <w:rFonts w:ascii="楷体_GB2312" w:eastAsia="楷体_GB2312"/>
      <w:bCs/>
      <w:sz w:val="32"/>
      <w:szCs w:val="32"/>
    </w:rPr>
  </w:style>
  <w:style w:type="character" w:styleId="688" w:customStyle="1">
    <w:name w:val="标题 Char"/>
    <w:link w:val="675"/>
    <w:uiPriority w:val="10"/>
    <w:qFormat/>
    <w:pPr>
      <w:pBdr/>
      <w:spacing/>
      <w:ind/>
    </w:pPr>
    <w:rPr>
      <w:rFonts w:ascii="宋体" w:hAnsi="宋体" w:eastAsia="黑体"/>
      <w:bCs/>
      <w:sz w:val="32"/>
      <w:szCs w:val="32"/>
    </w:rPr>
  </w:style>
  <w:style w:type="paragraph" w:styleId="689" w:customStyle="1">
    <w:name w:val="主题目"/>
    <w:link w:val="691"/>
    <w:uiPriority w:val="0"/>
    <w:qFormat/>
    <w:pPr>
      <w:pBdr/>
      <w:spacing w:line="700" w:lineRule="exact"/>
      <w:ind/>
      <w:jc w:val="center"/>
    </w:pPr>
    <w:rPr>
      <w:rFonts w:ascii="宋体" w:hAnsi="宋体" w:eastAsia="方正小标宋简体" w:cs="Times New Roman"/>
      <w:sz w:val="44"/>
      <w:szCs w:val="44"/>
      <w:lang w:val="en-US" w:eastAsia="zh-CN" w:bidi="ar-SA"/>
    </w:rPr>
  </w:style>
  <w:style w:type="character" w:styleId="690" w:customStyle="1">
    <w:name w:val="无间隔 Char"/>
    <w:link w:val="673"/>
    <w:uiPriority w:val="0"/>
    <w:qFormat/>
    <w:pPr>
      <w:pBdr/>
      <w:spacing/>
      <w:ind/>
    </w:pPr>
    <w:rPr>
      <w:rFonts w:eastAsia="仿宋_GB2312"/>
      <w:sz w:val="32"/>
    </w:rPr>
  </w:style>
  <w:style w:type="character" w:styleId="691" w:customStyle="1">
    <w:name w:val="主题目 字符"/>
    <w:link w:val="689"/>
    <w:uiPriority w:val="0"/>
    <w:qFormat/>
    <w:pPr>
      <w:pBdr/>
      <w:spacing/>
      <w:ind/>
    </w:pPr>
    <w:rPr>
      <w:rFonts w:ascii="宋体" w:hAnsi="宋体" w:eastAsia="方正小标宋简体"/>
      <w:sz w:val="44"/>
      <w:szCs w:val="44"/>
    </w:rPr>
  </w:style>
  <w:style w:type="character" w:styleId="692" w:customStyle="1">
    <w:name w:val="段内正文 字符"/>
    <w:uiPriority w:val="0"/>
    <w:qFormat/>
    <w:pPr>
      <w:pBdr/>
      <w:spacing/>
      <w:ind/>
    </w:pPr>
    <w:rPr>
      <w:rFonts w:ascii="宋体" w:hAnsi="宋体"/>
      <w:sz w:val="32"/>
      <w:szCs w:val="32"/>
    </w:rPr>
  </w:style>
  <w:style w:type="character" w:styleId="693" w:customStyle="1">
    <w:name w:val="日期 Char"/>
    <w:link w:val="666"/>
    <w:uiPriority w:val="99"/>
    <w:semiHidden/>
    <w:qFormat/>
    <w:pPr>
      <w:pBdr/>
      <w:spacing/>
      <w:ind/>
    </w:pPr>
    <w:rPr>
      <w:rFonts w:eastAsia="方正公文仿宋"/>
      <w:sz w:val="32"/>
      <w:szCs w:val="32"/>
    </w:rPr>
  </w:style>
  <w:style w:type="numbering" w:styleId="6314" w:default="1">
    <w:name w:val="No List"/>
    <w:uiPriority w:val="99"/>
    <w:semiHidden/>
    <w:unhideWhenUsed/>
    <w:pPr>
      <w:pBdr/>
      <w:spacing/>
      <w:ind/>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footer" Target="footer2.xml" /><Relationship Id="rId11" Type="http://schemas.openxmlformats.org/officeDocument/2006/relationships/customXml" Target="../customXml/item1.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Cambria"/>
        <a:cs typeface="Arial"/>
      </a:majorFont>
      <a:minorFont>
        <a:latin typeface="等线"/>
        <a:ea typeface="等线"/>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ECE558-6527-4184-94C9-62441FADD489}"/>
</file>

<file path=docProps/app.xml><?xml version="1.0" encoding="utf-8"?>
<Properties xmlns="http://schemas.openxmlformats.org/officeDocument/2006/extended-properties" xmlns:vt="http://schemas.openxmlformats.org/officeDocument/2006/docPropsVTypes">
  <Application>ONLYOFFICE/7.5.1.23</Application>
  <DocSecurity>0</DocSecurity>
  <LinksUpToDate>false</LinksUpToDate>
  <ScaleCrop>false</ScaleCrop>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公文</dc:title>
  <dc:creator>SINC</dc:creator>
  <cp:lastModifiedBy>匿名</cp:lastModifiedBy>
  <cp:revision>3</cp:revision>
  <dcterms:created xsi:type="dcterms:W3CDTF">2023-09-07T02:14:00Z</dcterms:created>
  <dcterms:modified xsi:type="dcterms:W3CDTF">2026-06-26T02:35:34Z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5CD0A809C93F4BE9A558DD655836D674_13</vt:lpwstr>
  </property>
</Properties>
</file>